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9"/>
          <w:rFonts w:hint="eastAsia" w:ascii="Verdana" w:hAnsi="Verdana" w:eastAsia="宋体" w:cs="Verdana"/>
          <w:b/>
          <w:bCs w:val="0"/>
          <w:i w:val="0"/>
          <w:caps w:val="0"/>
          <w:color w:val="4A4A4A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Style w:val="9"/>
          <w:rFonts w:hint="eastAsia" w:ascii="Verdana" w:hAnsi="Verdana" w:cs="Verdana"/>
          <w:b/>
          <w:bCs w:val="0"/>
          <w:i w:val="0"/>
          <w:caps w:val="0"/>
          <w:color w:val="4A4A4A"/>
          <w:spacing w:val="0"/>
          <w:sz w:val="44"/>
          <w:szCs w:val="44"/>
          <w:shd w:val="clear" w:color="auto" w:fill="FFFFFF"/>
          <w:lang w:val="en-US" w:eastAsia="zh-CN"/>
        </w:rPr>
        <w:t>《中山市停车场条例》相关行政处罚自由裁量量化标准（征求意见稿）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Style w:val="9"/>
          <w:rFonts w:hint="default" w:ascii="Verdana" w:hAnsi="Verdana" w:cs="Verdana"/>
          <w:b/>
          <w:bCs w:val="0"/>
          <w:i w:val="0"/>
          <w:caps w:val="0"/>
          <w:color w:val="4A4A4A"/>
          <w:spacing w:val="0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擅自改变公共停车场、专用停车场的用途，或者减少规划确定的停车泊位数量，或者改变公共停车场性质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限期内未改正的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一）处罚依据：《中山市停车场条例》</w:t>
      </w: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第三十三条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违反本条例第十条规定，擅自改变公共停车场、专用停车场的用途，或者减少规划确定的停车泊位数量，或者改变公共停车场性质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由市城市管理综合执法主管部门责令限期改正，恢复原状；逾期不改正的，可以按照每个停车泊位每日一百元的标准处以罚款。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（二）处罚种类：罚款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（三）处罚自由裁量标准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擅自改变公共停车场、专用停车场的用途，或者减少规划确定的停车泊位数量，或者改变公共停车场性质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限期内不改正的，按照每个停车泊位每日一百元的标准处以罚款。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二、公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专用停车场未配建或者加装电动汽车充电基础设施，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限期内未改正的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一）处罚依据：《中山市停车场条例》第三十四条第二款“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违反本条例第十三条第六项、第七项规定，未配建或者加装电动汽车充电基础设施的，或者未设置并标明无障碍停车泊位以及配备无障碍设施的，由市城市管理综合执法主管部门责令限期改正；逾期不改正的，处五千元以上三万元以下罚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二）处罚种类：罚款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（三）处罚自由裁量标准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专用停车场未配建或者加装电动汽车充电基础设施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，逾期30日以内改正的，处五千元罚款；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专用停车场未配建或者加装电动汽车充电基础设施，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逾期30日以上60日以内改正的，处一万元罚款；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专用停车场未配建或者加装电动汽车充电基础设施，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逾期60日以上未改正的，处三万元罚款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三、公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专用停车场未设置并标明无障碍停车泊位以及配备无障碍设施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限期内未改正的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一）处罚依据：《中山市停车场条例》第三十四条第二款“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违反本条例第十三条第六项、第七项规定，未配建或者加装电动汽车充电基础设施的，或者未设置并标明无障碍停车泊位以及配备无障碍设施的，由市城市管理综合执法主管部门责令限期改正；逾期不改正的，处五千元以上三万元以下罚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二）处罚种类：罚款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（三）处罚自由裁量标准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专用停车场未设置并标明无障碍停车泊位以及配备无障碍设施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，逾期30日以内改正的，处五千元罚款；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专用停车场未设置并标明无障碍停车泊位以及配备无障碍设施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逾期30日以上60日以内改正的，处一万元罚款；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共停车场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专用停车场未设置并标明无障碍停车泊位以及配备无障碍设施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逾期60日以上未改正的，处三万元罚款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在道路临时停车泊位设施、设备上涂抹刻划或者张贴悬挂广告、招牌、标语等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限期内未改正的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（一）法律依据：《中山市停车场条例》第四十条第三款“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违反本条例第三十二条第四项规定，在道路临时停车泊位设施、设备上涂抹刻划或者张贴悬挂广告、招牌、标语等的，由城市管理综合执法主管部门责令限期改正；逾期不改正的，处二千元以下罚款。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二）处罚种类：罚款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（三）处罚自由裁量标准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在道路临时停车泊位设施、设备上涂抹刻划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张贴悬挂广告、招牌、标语等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限期内未改正，初次违法的，处五百元罚款；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在道路临时停车泊位设施、设备上涂抹刻划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张贴悬挂广告、招牌、标语等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限期内未改正，第二次违法的，处一千元罚款；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在道路临时停车泊位设施、设备上涂抹刻划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张贴悬挂广告、招牌、标语等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限期内未改正，第三次及以后违法的，每次处二千元罚款。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在道路临时停车泊位上从事车辆清洗、装饰、修理等经营性活动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法律依据：《中山市停车场条例》第四十条第四款“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违反本条例第三十二条第五项规定，在道路临时停车泊位上从事车辆清洗、装饰、修理等经营性活动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由城市管理综合执法主管部门责令改正，可以处五千元以上一万元以下罚款。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法律种类：罚款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处罚自由裁量标准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在道路临时停车泊位上从事车辆清洗、装饰、修理等经营性活动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初次违法的，责令改正，处五千元罚款；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在道路临时停车泊位上从事车辆清洗、装饰、修理等经营性活动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第二次违法的，责令改正，处七千五百元罚款；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在道路临时停车泊位上从事车辆清洗、装饰、修理等经营性活动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第三次及以后违法的，责令改正，每次处一万元罚款。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说明：1、上述“处罚自由裁量标准”所提及的违法次数的认定均以我局发出的责令改正文书（针对责令限期改正的情形）及行政处罚决定书（针对作出处罚决定的情形）为依据。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2、上述“处罚自由裁量标准”所提及的“以内”含本数，“以上”不含本数。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F4409"/>
    <w:multiLevelType w:val="singleLevel"/>
    <w:tmpl w:val="D3BF44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815F9F"/>
    <w:multiLevelType w:val="singleLevel"/>
    <w:tmpl w:val="54815F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C"/>
    <w:rsid w:val="000B274A"/>
    <w:rsid w:val="000B3D17"/>
    <w:rsid w:val="001108DB"/>
    <w:rsid w:val="00122173"/>
    <w:rsid w:val="00152E4D"/>
    <w:rsid w:val="00264C39"/>
    <w:rsid w:val="002E3FBD"/>
    <w:rsid w:val="00336BBA"/>
    <w:rsid w:val="003A39D8"/>
    <w:rsid w:val="003C174D"/>
    <w:rsid w:val="00547DD1"/>
    <w:rsid w:val="005744CB"/>
    <w:rsid w:val="005C3C8C"/>
    <w:rsid w:val="006B772E"/>
    <w:rsid w:val="006C3310"/>
    <w:rsid w:val="00755ED2"/>
    <w:rsid w:val="007B491D"/>
    <w:rsid w:val="007B79AC"/>
    <w:rsid w:val="008A315F"/>
    <w:rsid w:val="008C353B"/>
    <w:rsid w:val="009D122A"/>
    <w:rsid w:val="009F7E7B"/>
    <w:rsid w:val="00A10ED2"/>
    <w:rsid w:val="00A264C4"/>
    <w:rsid w:val="00B55156"/>
    <w:rsid w:val="00CB3A74"/>
    <w:rsid w:val="00DC522A"/>
    <w:rsid w:val="00ED6EA9"/>
    <w:rsid w:val="00F12D83"/>
    <w:rsid w:val="00F15BEB"/>
    <w:rsid w:val="01590023"/>
    <w:rsid w:val="019949A0"/>
    <w:rsid w:val="02C713A6"/>
    <w:rsid w:val="02CE18CD"/>
    <w:rsid w:val="02FB0372"/>
    <w:rsid w:val="05D316EC"/>
    <w:rsid w:val="09A846C6"/>
    <w:rsid w:val="0A7172B7"/>
    <w:rsid w:val="0C992BE5"/>
    <w:rsid w:val="12F81BB5"/>
    <w:rsid w:val="142902D7"/>
    <w:rsid w:val="16CD6B11"/>
    <w:rsid w:val="18FC5EE0"/>
    <w:rsid w:val="1C766F94"/>
    <w:rsid w:val="1CE1074D"/>
    <w:rsid w:val="21B86382"/>
    <w:rsid w:val="234E385C"/>
    <w:rsid w:val="23E226F9"/>
    <w:rsid w:val="25F81036"/>
    <w:rsid w:val="29CA2BE4"/>
    <w:rsid w:val="2B973BF9"/>
    <w:rsid w:val="2CB80593"/>
    <w:rsid w:val="2EF84CB3"/>
    <w:rsid w:val="30BF22E3"/>
    <w:rsid w:val="334F2275"/>
    <w:rsid w:val="37F5121E"/>
    <w:rsid w:val="38681E0A"/>
    <w:rsid w:val="39073683"/>
    <w:rsid w:val="3CE409C3"/>
    <w:rsid w:val="41274E80"/>
    <w:rsid w:val="42A15A43"/>
    <w:rsid w:val="4419010B"/>
    <w:rsid w:val="44E46E23"/>
    <w:rsid w:val="45F25595"/>
    <w:rsid w:val="475848DF"/>
    <w:rsid w:val="47BB009A"/>
    <w:rsid w:val="48C05DA1"/>
    <w:rsid w:val="4A250D3D"/>
    <w:rsid w:val="4AE818DA"/>
    <w:rsid w:val="4B046637"/>
    <w:rsid w:val="4E2E07B8"/>
    <w:rsid w:val="55E32EA9"/>
    <w:rsid w:val="56261863"/>
    <w:rsid w:val="58B22924"/>
    <w:rsid w:val="5BE65E28"/>
    <w:rsid w:val="5F426CA2"/>
    <w:rsid w:val="62832F22"/>
    <w:rsid w:val="64F11468"/>
    <w:rsid w:val="688057EF"/>
    <w:rsid w:val="72DF7FA5"/>
    <w:rsid w:val="795E29D0"/>
    <w:rsid w:val="7C14418B"/>
    <w:rsid w:val="7D917A4A"/>
    <w:rsid w:val="7E7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44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286</Words>
  <Characters>30</Characters>
  <Lines>1</Lines>
  <Paragraphs>1</Paragraphs>
  <TotalTime>5</TotalTime>
  <ScaleCrop>false</ScaleCrop>
  <LinksUpToDate>false</LinksUpToDate>
  <CharactersWithSpaces>315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2017-07-03T08:13:00Z</dcterms:created>
  <dc:creator>User</dc:creator>
  <cp:lastModifiedBy>安点</cp:lastModifiedBy>
  <cp:lastPrinted>2020-06-09T01:43:24Z</cp:lastPrinted>
  <dcterms:modified xsi:type="dcterms:W3CDTF">2020-06-09T01:50:22Z</dcterms:modified>
  <dc:title>关于征求对中山市户外广告设置管理规定修改意见的函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