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74" w:lineRule="exact"/>
        <w:jc w:val="center"/>
        <w:textAlignment w:val="auto"/>
        <w:rPr>
          <w:rFonts w:hint="eastAsia" w:ascii="CESI黑体-GB2312" w:hAnsi="CESI黑体-GB2312" w:eastAsia="CESI黑体-GB2312" w:cs="CESI黑体-GB2312"/>
          <w:color w:val="000000"/>
          <w:sz w:val="44"/>
          <w:szCs w:val="44"/>
        </w:rPr>
      </w:pPr>
      <w:bookmarkStart w:id="0" w:name="_GoBack"/>
      <w:bookmarkEnd w:id="0"/>
      <w:r>
        <w:rPr>
          <w:rFonts w:hint="eastAsia" w:ascii="CESI黑体-GB2312" w:hAnsi="CESI黑体-GB2312" w:eastAsia="CESI黑体-GB2312" w:cs="CESI黑体-GB2312"/>
          <w:color w:val="000000"/>
          <w:sz w:val="44"/>
          <w:szCs w:val="44"/>
        </w:rPr>
        <w:t>中山市城市管理和综合执法局2022年</w:t>
      </w:r>
    </w:p>
    <w:p>
      <w:pPr>
        <w:keepNext w:val="0"/>
        <w:keepLines w:val="0"/>
        <w:pageBreakBefore w:val="0"/>
        <w:kinsoku/>
        <w:wordWrap/>
        <w:topLinePunct w:val="0"/>
        <w:bidi w:val="0"/>
        <w:spacing w:line="574" w:lineRule="exact"/>
        <w:jc w:val="center"/>
        <w:textAlignment w:val="auto"/>
        <w:rPr>
          <w:rFonts w:hint="eastAsia" w:ascii="CESI黑体-GB2312" w:hAnsi="CESI黑体-GB2312" w:eastAsia="CESI黑体-GB2312" w:cs="CESI黑体-GB2312"/>
          <w:color w:val="000000"/>
          <w:sz w:val="44"/>
          <w:szCs w:val="44"/>
        </w:rPr>
      </w:pPr>
      <w:r>
        <w:rPr>
          <w:rFonts w:hint="eastAsia" w:ascii="CESI黑体-GB2312" w:hAnsi="CESI黑体-GB2312" w:eastAsia="CESI黑体-GB2312" w:cs="CESI黑体-GB2312"/>
          <w:color w:val="000000"/>
          <w:sz w:val="44"/>
          <w:szCs w:val="44"/>
        </w:rPr>
        <w:t>行政许可实施和监督管理情况报告</w:t>
      </w: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val="0"/>
        <w:topLinePunct w:val="0"/>
        <w:autoSpaceDE w:val="0"/>
        <w:autoSpaceDN w:val="0"/>
        <w:bidi w:val="0"/>
        <w:adjustRightInd w:val="0"/>
        <w:snapToGrid w:val="0"/>
        <w:spacing w:line="574" w:lineRule="exact"/>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市政府：</w:t>
      </w:r>
    </w:p>
    <w:p>
      <w:pPr>
        <w:keepNext w:val="0"/>
        <w:keepLines w:val="0"/>
        <w:pageBreakBefore w:val="0"/>
        <w:kinsoku/>
        <w:wordWrap/>
        <w:overflowPunct w:val="0"/>
        <w:topLinePunct w:val="0"/>
        <w:autoSpaceDE w:val="0"/>
        <w:autoSpaceDN w:val="0"/>
        <w:bidi w:val="0"/>
        <w:adjustRightInd w:val="0"/>
        <w:snapToGrid w:val="0"/>
        <w:spacing w:line="574" w:lineRule="exact"/>
        <w:ind w:firstLine="664"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根据《关于开展行政许可实施和监督管理情况年度报告工作的通知》要求，现将我局2022年行政许可实施和监督管理情况报告如下：</w:t>
      </w:r>
    </w:p>
    <w:p>
      <w:pPr>
        <w:pStyle w:val="2"/>
        <w:keepNext w:val="0"/>
        <w:keepLines w:val="0"/>
        <w:pageBreakBefore w:val="0"/>
        <w:kinsoku/>
        <w:wordWrap/>
        <w:topLinePunct w:val="0"/>
        <w:bidi w:val="0"/>
        <w:spacing w:after="0" w:line="574" w:lineRule="exact"/>
        <w:ind w:firstLine="688"/>
        <w:textAlignment w:val="auto"/>
        <w:rPr>
          <w:rFonts w:hint="eastAsia" w:ascii="CESI黑体-GB2312" w:hAnsi="CESI黑体-GB2312" w:eastAsia="CESI黑体-GB2312" w:cs="CESI黑体-GB2312"/>
          <w:snapToGrid w:val="0"/>
          <w:color w:val="000000"/>
          <w:spacing w:val="6"/>
          <w:kern w:val="32"/>
          <w:sz w:val="32"/>
          <w:szCs w:val="32"/>
        </w:rPr>
      </w:pPr>
      <w:r>
        <w:rPr>
          <w:rFonts w:hint="eastAsia" w:ascii="CESI黑体-GB2312" w:hAnsi="CESI黑体-GB2312" w:eastAsia="CESI黑体-GB2312" w:cs="CESI黑体-GB2312"/>
          <w:snapToGrid w:val="0"/>
          <w:color w:val="000000"/>
          <w:spacing w:val="6"/>
          <w:kern w:val="32"/>
          <w:sz w:val="32"/>
          <w:szCs w:val="32"/>
        </w:rPr>
        <w:t>一、基本情况</w:t>
      </w:r>
    </w:p>
    <w:p>
      <w:pPr>
        <w:pStyle w:val="2"/>
        <w:keepNext w:val="0"/>
        <w:keepLines w:val="0"/>
        <w:pageBreakBefore w:val="0"/>
        <w:kinsoku/>
        <w:wordWrap/>
        <w:topLinePunct w:val="0"/>
        <w:bidi w:val="0"/>
        <w:spacing w:after="0" w:line="574" w:lineRule="exact"/>
        <w:ind w:firstLine="688"/>
        <w:textAlignment w:val="auto"/>
        <w:rPr>
          <w:rFonts w:hint="eastAsia" w:ascii="CESI楷体-GB2312" w:hAnsi="CESI楷体-GB2312" w:eastAsia="CESI楷体-GB2312" w:cs="CESI楷体-GB2312"/>
          <w:snapToGrid w:val="0"/>
          <w:color w:val="000000"/>
          <w:spacing w:val="6"/>
          <w:kern w:val="32"/>
          <w:sz w:val="32"/>
          <w:szCs w:val="32"/>
        </w:rPr>
      </w:pPr>
      <w:r>
        <w:rPr>
          <w:rFonts w:hint="eastAsia" w:ascii="CESI楷体-GB2312" w:hAnsi="CESI楷体-GB2312" w:eastAsia="CESI楷体-GB2312" w:cs="CESI楷体-GB2312"/>
          <w:snapToGrid w:val="0"/>
          <w:color w:val="000000"/>
          <w:spacing w:val="6"/>
          <w:kern w:val="32"/>
          <w:sz w:val="32"/>
          <w:szCs w:val="32"/>
        </w:rPr>
        <w:t>（一）现有事项及办理情况。</w:t>
      </w:r>
    </w:p>
    <w:p>
      <w:pPr>
        <w:pStyle w:val="2"/>
        <w:keepNext w:val="0"/>
        <w:keepLines w:val="0"/>
        <w:pageBreakBefore w:val="0"/>
        <w:kinsoku/>
        <w:wordWrap/>
        <w:topLinePunct w:val="0"/>
        <w:bidi w:val="0"/>
        <w:spacing w:after="0" w:line="574" w:lineRule="exact"/>
        <w:ind w:firstLine="688"/>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w:t>
      </w:r>
      <w:r>
        <w:rPr>
          <w:rFonts w:hint="eastAsia" w:ascii="CESI仿宋-GB2312" w:hAnsi="CESI仿宋-GB2312" w:eastAsia="CESI仿宋-GB2312" w:cs="CESI仿宋-GB2312"/>
          <w:sz w:val="32"/>
          <w:szCs w:val="32"/>
        </w:rPr>
        <w:t>负责市政维护、园林管理、环境卫生、户外广告审批方面的21项行政许可事项（业务办理项为35项），全部</w:t>
      </w:r>
      <w:r>
        <w:rPr>
          <w:rFonts w:hint="eastAsia" w:ascii="CESI仿宋-GB2312" w:hAnsi="CESI仿宋-GB2312" w:eastAsia="CESI仿宋-GB2312" w:cs="CESI仿宋-GB2312"/>
          <w:snapToGrid w:val="0"/>
          <w:color w:val="000000"/>
          <w:spacing w:val="6"/>
          <w:kern w:val="32"/>
          <w:sz w:val="32"/>
          <w:szCs w:val="32"/>
        </w:rPr>
        <w:t>进驻广东省政务服务网公示办事指南及可全程网办。</w:t>
      </w:r>
    </w:p>
    <w:p>
      <w:pPr>
        <w:pStyle w:val="2"/>
        <w:keepNext w:val="0"/>
        <w:keepLines w:val="0"/>
        <w:pageBreakBefore w:val="0"/>
        <w:kinsoku/>
        <w:wordWrap/>
        <w:topLinePunct w:val="0"/>
        <w:bidi w:val="0"/>
        <w:spacing w:after="0" w:line="574" w:lineRule="exact"/>
        <w:ind w:firstLine="688"/>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2022年度，本单位受理行政许可申请400宗，办结400宗，按时办结率100%。其中，予以行政许可376宗，</w:t>
      </w:r>
      <w:r>
        <w:rPr>
          <w:rFonts w:hint="eastAsia" w:ascii="CESI仿宋-GB2312" w:hAnsi="CESI仿宋-GB2312" w:eastAsia="CESI仿宋-GB2312" w:cs="CESI仿宋-GB2312"/>
          <w:sz w:val="32"/>
          <w:szCs w:val="32"/>
        </w:rPr>
        <w:t>不予行政许可19宗、不予受理5宗。</w:t>
      </w:r>
      <w:r>
        <w:rPr>
          <w:rFonts w:hint="eastAsia" w:ascii="CESI仿宋-GB2312" w:hAnsi="CESI仿宋-GB2312" w:eastAsia="CESI仿宋-GB2312" w:cs="CESI仿宋-GB2312"/>
          <w:snapToGrid w:val="0"/>
          <w:color w:val="000000"/>
          <w:spacing w:val="6"/>
          <w:kern w:val="32"/>
          <w:sz w:val="32"/>
          <w:szCs w:val="32"/>
        </w:rPr>
        <w:t>不予受理事项的原因均为施工地点不属本单位职责范围。2022年度，本单位无新纳入省级通用目录，无取消和转移行政许可事项。</w:t>
      </w:r>
    </w:p>
    <w:p>
      <w:pPr>
        <w:pStyle w:val="2"/>
        <w:keepNext w:val="0"/>
        <w:keepLines w:val="0"/>
        <w:pageBreakBefore w:val="0"/>
        <w:numPr>
          <w:ilvl w:val="0"/>
          <w:numId w:val="1"/>
        </w:numPr>
        <w:kinsoku/>
        <w:wordWrap/>
        <w:topLinePunct w:val="0"/>
        <w:bidi w:val="0"/>
        <w:spacing w:after="0" w:line="574" w:lineRule="exact"/>
        <w:ind w:firstLine="688"/>
        <w:textAlignment w:val="auto"/>
        <w:rPr>
          <w:rFonts w:hint="eastAsia" w:ascii="CESI楷体-GB2312" w:hAnsi="CESI楷体-GB2312" w:eastAsia="CESI楷体-GB2312" w:cs="CESI楷体-GB2312"/>
          <w:snapToGrid w:val="0"/>
          <w:color w:val="000000"/>
          <w:spacing w:val="6"/>
          <w:kern w:val="32"/>
          <w:sz w:val="32"/>
          <w:szCs w:val="32"/>
        </w:rPr>
      </w:pPr>
      <w:r>
        <w:rPr>
          <w:rFonts w:hint="eastAsia" w:ascii="CESI楷体-GB2312" w:hAnsi="CESI楷体-GB2312" w:eastAsia="CESI楷体-GB2312" w:cs="CESI楷体-GB2312"/>
          <w:snapToGrid w:val="0"/>
          <w:color w:val="000000"/>
          <w:spacing w:val="6"/>
          <w:kern w:val="32"/>
          <w:sz w:val="32"/>
          <w:szCs w:val="32"/>
        </w:rPr>
        <w:t>依法实施情况。</w:t>
      </w:r>
    </w:p>
    <w:p>
      <w:pPr>
        <w:pStyle w:val="2"/>
        <w:keepNext w:val="0"/>
        <w:keepLines w:val="0"/>
        <w:pageBreakBefore w:val="0"/>
        <w:numPr>
          <w:ilvl w:val="0"/>
          <w:numId w:val="0"/>
        </w:numPr>
        <w:kinsoku/>
        <w:wordWrap/>
        <w:topLinePunct w:val="0"/>
        <w:bidi w:val="0"/>
        <w:spacing w:after="0" w:line="574" w:lineRule="exact"/>
        <w:ind w:firstLine="664"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严格遵守相关法律法规规定的审批权限、范围、程序、条件等实施行政许可审批。按照市审批改革中“三集中、一分开”的要求，审批科室与业务主管单位实行审批职能深度整合、审批权与监管权有效分开，通过集中审批改革实现互相制约、互为监督，加强审批全流程监督管理和廉政风险防范工作。</w:t>
      </w:r>
    </w:p>
    <w:p>
      <w:pPr>
        <w:pStyle w:val="2"/>
        <w:keepNext w:val="0"/>
        <w:keepLines w:val="0"/>
        <w:pageBreakBefore w:val="0"/>
        <w:kinsoku/>
        <w:wordWrap/>
        <w:topLinePunct w:val="0"/>
        <w:bidi w:val="0"/>
        <w:spacing w:after="0" w:line="574" w:lineRule="exact"/>
        <w:ind w:firstLine="688"/>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bidi="ar"/>
        </w:rPr>
        <w:t>本单位</w:t>
      </w:r>
      <w:r>
        <w:rPr>
          <w:rFonts w:hint="eastAsia" w:ascii="CESI仿宋-GB2312" w:hAnsi="CESI仿宋-GB2312" w:eastAsia="CESI仿宋-GB2312" w:cs="CESI仿宋-GB2312"/>
          <w:color w:val="000000"/>
          <w:sz w:val="32"/>
          <w:szCs w:val="32"/>
        </w:rPr>
        <w:t>围绕本年度我市</w:t>
      </w:r>
      <w:r>
        <w:rPr>
          <w:rFonts w:hint="eastAsia" w:ascii="CESI仿宋-GB2312" w:hAnsi="CESI仿宋-GB2312" w:eastAsia="CESI仿宋-GB2312" w:cs="CESI仿宋-GB2312"/>
          <w:sz w:val="32"/>
          <w:szCs w:val="32"/>
        </w:rPr>
        <w:t>政务服务质量提升专项行动和</w:t>
      </w:r>
      <w:r>
        <w:rPr>
          <w:rFonts w:hint="eastAsia" w:ascii="CESI仿宋-GB2312" w:hAnsi="CESI仿宋-GB2312" w:eastAsia="CESI仿宋-GB2312" w:cs="CESI仿宋-GB2312"/>
          <w:color w:val="000000"/>
          <w:spacing w:val="-6"/>
          <w:kern w:val="0"/>
          <w:sz w:val="32"/>
          <w:szCs w:val="32"/>
        </w:rPr>
        <w:t>数字政府改革建设</w:t>
      </w:r>
      <w:r>
        <w:rPr>
          <w:rFonts w:hint="eastAsia" w:ascii="CESI仿宋-GB2312" w:hAnsi="CESI仿宋-GB2312" w:eastAsia="CESI仿宋-GB2312" w:cs="CESI仿宋-GB2312"/>
          <w:color w:val="000000"/>
          <w:sz w:val="32"/>
          <w:szCs w:val="32"/>
        </w:rPr>
        <w:t>等重点工作</w:t>
      </w:r>
      <w:r>
        <w:rPr>
          <w:rFonts w:hint="eastAsia" w:ascii="CESI仿宋-GB2312" w:hAnsi="CESI仿宋-GB2312" w:eastAsia="CESI仿宋-GB2312" w:cs="CESI仿宋-GB2312"/>
          <w:sz w:val="32"/>
          <w:szCs w:val="32"/>
          <w:lang w:bidi="ar"/>
        </w:rPr>
        <w:t>部署，</w:t>
      </w:r>
      <w:r>
        <w:rPr>
          <w:rFonts w:hint="eastAsia" w:ascii="CESI仿宋-GB2312" w:hAnsi="CESI仿宋-GB2312" w:eastAsia="CESI仿宋-GB2312" w:cs="CESI仿宋-GB2312"/>
          <w:sz w:val="32"/>
          <w:szCs w:val="32"/>
        </w:rPr>
        <w:t>本单位重点指标已全部对标省内外先进城市，并持续开展指标整改落地的“深加工”，作为进一步深化“放管服”改革及优化我市营商环境的重要举措，认真提升行政审批事项效率及质量。配合国家、省、市各项审批制度改革工作，扎实开展本单位范围行政审批工作，积极牵头配合相关单位开展并联审批、一件事联办等审批改革和政务优化项目。</w:t>
      </w:r>
    </w:p>
    <w:p>
      <w:pPr>
        <w:keepNext w:val="0"/>
        <w:keepLines w:val="0"/>
        <w:pageBreakBefore w:val="0"/>
        <w:kinsoku/>
        <w:wordWrap/>
        <w:topLinePunct w:val="0"/>
        <w:bidi w:val="0"/>
        <w:spacing w:line="574" w:lineRule="exact"/>
        <w:ind w:firstLine="640"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color w:val="000000"/>
          <w:sz w:val="32"/>
          <w:szCs w:val="32"/>
        </w:rPr>
        <w:t>本单位的行政许可事项中涉及证明性材料54项，其中44项涉及营业执照、居民身份证等，均可通过电子证照用证实行免提交。同时，我局也严格按照《住房和城乡建设部关于取消部分部门规章和规范性文件设定的证明事项的决定》（建法规〔2019〕6号），对照文件要求取消部门规章设定的证明事项。其余涉及一些土地证明、机动车驾驶证等材料，因未能完全通过数据共享实施免提交，由申请单位提供基本信息给我局向对应政府部门查核相关证明性材料。</w:t>
      </w:r>
    </w:p>
    <w:p>
      <w:pPr>
        <w:pStyle w:val="2"/>
        <w:keepNext w:val="0"/>
        <w:keepLines w:val="0"/>
        <w:pageBreakBefore w:val="0"/>
        <w:numPr>
          <w:ilvl w:val="0"/>
          <w:numId w:val="1"/>
        </w:numPr>
        <w:kinsoku/>
        <w:wordWrap/>
        <w:topLinePunct w:val="0"/>
        <w:bidi w:val="0"/>
        <w:spacing w:after="0" w:line="574" w:lineRule="exact"/>
        <w:ind w:left="0" w:leftChars="0" w:firstLine="688" w:firstLineChars="0"/>
        <w:textAlignment w:val="auto"/>
        <w:rPr>
          <w:rFonts w:hint="eastAsia" w:ascii="CESI楷体-GB2312" w:hAnsi="CESI楷体-GB2312" w:eastAsia="CESI楷体-GB2312" w:cs="CESI楷体-GB2312"/>
          <w:snapToGrid w:val="0"/>
          <w:color w:val="000000"/>
          <w:spacing w:val="6"/>
          <w:kern w:val="32"/>
          <w:sz w:val="32"/>
          <w:szCs w:val="32"/>
        </w:rPr>
      </w:pPr>
      <w:r>
        <w:rPr>
          <w:rFonts w:hint="eastAsia" w:ascii="CESI楷体-GB2312" w:hAnsi="CESI楷体-GB2312" w:eastAsia="CESI楷体-GB2312" w:cs="CESI楷体-GB2312"/>
          <w:snapToGrid w:val="0"/>
          <w:color w:val="000000"/>
          <w:spacing w:val="6"/>
          <w:kern w:val="32"/>
          <w:sz w:val="32"/>
          <w:szCs w:val="32"/>
        </w:rPr>
        <w:t>公开公示情况。</w:t>
      </w:r>
    </w:p>
    <w:p>
      <w:pPr>
        <w:pStyle w:val="2"/>
        <w:keepNext w:val="0"/>
        <w:keepLines w:val="0"/>
        <w:pageBreakBefore w:val="0"/>
        <w:numPr>
          <w:ilvl w:val="0"/>
          <w:numId w:val="0"/>
        </w:numPr>
        <w:kinsoku/>
        <w:wordWrap/>
        <w:topLinePunct w:val="0"/>
        <w:bidi w:val="0"/>
        <w:spacing w:after="0" w:line="574" w:lineRule="exact"/>
        <w:ind w:firstLine="664"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已通过广东政务服务网对应许可事项办事指南中公示所有行政许可事项的实施主体、设立依据、办理流程、受理条件、办理期限、裁量标准、申请材料及办法、收费标准、申请书格式文本、咨询投诉途径等信息的方式、范围等情况，申请单位在查询相关事项办事指南中均能阅读及下载。同时，所有政务APP、小程序、官网对外办理业务均按数据同源工作要求归集到广东政务服务网可查、可办。</w:t>
      </w:r>
    </w:p>
    <w:p>
      <w:pPr>
        <w:pStyle w:val="2"/>
        <w:keepNext w:val="0"/>
        <w:keepLines w:val="0"/>
        <w:pageBreakBefore w:val="0"/>
        <w:kinsoku/>
        <w:wordWrap/>
        <w:topLinePunct w:val="0"/>
        <w:bidi w:val="0"/>
        <w:spacing w:after="0" w:line="574" w:lineRule="exact"/>
        <w:ind w:firstLine="688"/>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的行政许可实施和结果均通过信用（中山）“双公示”平台以及广东省行政执法信息公示平台向社会公开，本单位局网同步公示。申请单位也可于广东政务服务网主页找到对应办理流水号及时查询办理状态。</w:t>
      </w:r>
    </w:p>
    <w:p>
      <w:pPr>
        <w:pStyle w:val="2"/>
        <w:keepNext w:val="0"/>
        <w:keepLines w:val="0"/>
        <w:pageBreakBefore w:val="0"/>
        <w:numPr>
          <w:ilvl w:val="0"/>
          <w:numId w:val="1"/>
        </w:numPr>
        <w:kinsoku/>
        <w:wordWrap/>
        <w:topLinePunct w:val="0"/>
        <w:bidi w:val="0"/>
        <w:spacing w:after="0" w:line="574" w:lineRule="exact"/>
        <w:ind w:left="0" w:leftChars="0" w:firstLine="688" w:firstLineChars="0"/>
        <w:textAlignment w:val="auto"/>
        <w:rPr>
          <w:rFonts w:hint="eastAsia" w:ascii="CESI楷体-GB2312" w:hAnsi="CESI楷体-GB2312" w:eastAsia="CESI楷体-GB2312" w:cs="CESI楷体-GB2312"/>
          <w:snapToGrid w:val="0"/>
          <w:color w:val="000000"/>
          <w:spacing w:val="6"/>
          <w:kern w:val="32"/>
          <w:sz w:val="32"/>
          <w:szCs w:val="32"/>
        </w:rPr>
      </w:pPr>
      <w:r>
        <w:rPr>
          <w:rFonts w:hint="eastAsia" w:ascii="CESI楷体-GB2312" w:hAnsi="CESI楷体-GB2312" w:eastAsia="CESI楷体-GB2312" w:cs="CESI楷体-GB2312"/>
          <w:snapToGrid w:val="0"/>
          <w:color w:val="000000"/>
          <w:spacing w:val="6"/>
          <w:kern w:val="32"/>
          <w:sz w:val="32"/>
          <w:szCs w:val="32"/>
        </w:rPr>
        <w:t>监督管理情况。</w:t>
      </w:r>
    </w:p>
    <w:p>
      <w:pPr>
        <w:pStyle w:val="2"/>
        <w:keepNext w:val="0"/>
        <w:keepLines w:val="0"/>
        <w:pageBreakBefore w:val="0"/>
        <w:numPr>
          <w:ilvl w:val="0"/>
          <w:numId w:val="0"/>
        </w:numPr>
        <w:kinsoku/>
        <w:wordWrap/>
        <w:topLinePunct w:val="0"/>
        <w:bidi w:val="0"/>
        <w:spacing w:after="0" w:line="574" w:lineRule="exact"/>
        <w:ind w:firstLine="664"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行政许可事项均由相关业务科室（中心）制定监管标准和措施，并实施监管。相关行政许可事项均强化批中批后监管制度，建立审批事项的“事前规范、事中把关、事后监管”全流程监管体系。通过每月的风险排查，梳理风险点，及时与向局领导、业务主管科室、勘查人员反映，并提出防范处理意见。同时，对优化审批方式的，如实施“告知承诺制”的审批事项，切实强化批中批后监管措施，采取定期与不定期抽检、巡查、月检、季检等方式，如发现企业不符合承诺条件开展经营的，责令限期整改，逾期不整改或整改后仍不达要求的企业作依法撤销行政许可处理。</w:t>
      </w:r>
    </w:p>
    <w:p>
      <w:pPr>
        <w:pStyle w:val="2"/>
        <w:keepNext w:val="0"/>
        <w:keepLines w:val="0"/>
        <w:pageBreakBefore w:val="0"/>
        <w:kinsoku/>
        <w:wordWrap/>
        <w:topLinePunct w:val="0"/>
        <w:bidi w:val="0"/>
        <w:spacing w:after="0" w:line="574" w:lineRule="exact"/>
        <w:ind w:firstLine="664"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本单位在广东政务服务网及局网办事指南中均有公开投诉监督电话，申请单位或群众可通过市政府12345热线、“好差评”平台进行监督投诉。202</w:t>
      </w:r>
      <w:r>
        <w:rPr>
          <w:rFonts w:hint="eastAsia" w:ascii="CESI仿宋-GB2312" w:hAnsi="CESI仿宋-GB2312" w:eastAsia="CESI仿宋-GB2312" w:cs="CESI仿宋-GB2312"/>
          <w:snapToGrid w:val="0"/>
          <w:color w:val="000000"/>
          <w:spacing w:val="6"/>
          <w:kern w:val="32"/>
          <w:sz w:val="32"/>
          <w:szCs w:val="32"/>
          <w:lang w:val="en-US" w:eastAsia="zh-CN"/>
        </w:rPr>
        <w:t>2</w:t>
      </w:r>
      <w:r>
        <w:rPr>
          <w:rFonts w:hint="eastAsia" w:ascii="CESI仿宋-GB2312" w:hAnsi="CESI仿宋-GB2312" w:eastAsia="CESI仿宋-GB2312" w:cs="CESI仿宋-GB2312"/>
          <w:snapToGrid w:val="0"/>
          <w:color w:val="000000"/>
          <w:spacing w:val="6"/>
          <w:kern w:val="32"/>
          <w:sz w:val="32"/>
          <w:szCs w:val="32"/>
        </w:rPr>
        <w:t>年度，本单位未收到差评投诉。</w:t>
      </w:r>
    </w:p>
    <w:p>
      <w:pPr>
        <w:pStyle w:val="2"/>
        <w:keepNext w:val="0"/>
        <w:keepLines w:val="0"/>
        <w:pageBreakBefore w:val="0"/>
        <w:kinsoku/>
        <w:wordWrap/>
        <w:topLinePunct w:val="0"/>
        <w:bidi w:val="0"/>
        <w:spacing w:after="0" w:line="574" w:lineRule="exact"/>
        <w:ind w:firstLine="688"/>
        <w:textAlignment w:val="auto"/>
        <w:rPr>
          <w:rFonts w:hint="eastAsia" w:ascii="CESI楷体-GB2312" w:hAnsi="CESI楷体-GB2312" w:eastAsia="CESI楷体-GB2312" w:cs="CESI楷体-GB2312"/>
          <w:snapToGrid w:val="0"/>
          <w:color w:val="000000"/>
          <w:spacing w:val="6"/>
          <w:kern w:val="32"/>
          <w:sz w:val="32"/>
          <w:szCs w:val="32"/>
        </w:rPr>
      </w:pPr>
      <w:r>
        <w:rPr>
          <w:rFonts w:hint="eastAsia" w:ascii="CESI楷体-GB2312" w:hAnsi="CESI楷体-GB2312" w:eastAsia="CESI楷体-GB2312" w:cs="CESI楷体-GB2312"/>
          <w:snapToGrid w:val="0"/>
          <w:color w:val="000000"/>
          <w:spacing w:val="6"/>
          <w:kern w:val="32"/>
          <w:sz w:val="32"/>
          <w:szCs w:val="32"/>
        </w:rPr>
        <w:t>（五）实施效果。</w:t>
      </w:r>
    </w:p>
    <w:p>
      <w:pPr>
        <w:keepNext w:val="0"/>
        <w:keepLines w:val="0"/>
        <w:pageBreakBefore w:val="0"/>
        <w:kinsoku/>
        <w:wordWrap/>
        <w:topLinePunct w:val="0"/>
        <w:bidi w:val="0"/>
        <w:spacing w:line="574" w:lineRule="exact"/>
        <w:ind w:firstLine="664"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napToGrid w:val="0"/>
          <w:color w:val="000000"/>
          <w:spacing w:val="6"/>
          <w:kern w:val="32"/>
          <w:sz w:val="32"/>
          <w:szCs w:val="32"/>
          <w:lang w:val="en-US" w:eastAsia="zh-CN"/>
        </w:rPr>
        <w:t>1.</w:t>
      </w:r>
      <w:r>
        <w:rPr>
          <w:rFonts w:hint="eastAsia" w:ascii="CESI仿宋-GB2312" w:hAnsi="CESI仿宋-GB2312" w:eastAsia="CESI仿宋-GB2312" w:cs="CESI仿宋-GB2312"/>
          <w:snapToGrid w:val="0"/>
          <w:color w:val="000000"/>
          <w:spacing w:val="6"/>
          <w:kern w:val="32"/>
          <w:sz w:val="32"/>
          <w:szCs w:val="32"/>
        </w:rPr>
        <w:t>推动落实审批改革工作，优化审批服务方式。围绕市委市政府重点工作部署，自我加压，全力推进我局政务服务能力对标省内、国内先进城市，推动落实相关审批改革工作，优化我局审批服务方式，持续开展“建设工程并联审批”、“证照分离”、“一照通行”涉企改革，出台相关涉改事项实施细则，推动改革在全市落地落实；持续抓审批制度及流程改革，上线“低风险及市政设施接入项目”流程改革事项，采取告知承诺制审批，提升审批效率，促进项目落地开工；结合企业在“涉路施工及开路口”的业务办理需求，整合业务资源，打造部门联办，从而助群众实现精准申报，积极打造我市营商环境建设新局面，让企业群众办事更方便</w:t>
      </w:r>
    </w:p>
    <w:p>
      <w:pPr>
        <w:keepNext w:val="0"/>
        <w:keepLines w:val="0"/>
        <w:pageBreakBefore w:val="0"/>
        <w:kinsoku/>
        <w:wordWrap/>
        <w:topLinePunct w:val="0"/>
        <w:bidi w:val="0"/>
        <w:spacing w:line="574"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shd w:val="clear" w:color="auto" w:fill="FFFFFF"/>
          <w:lang w:val="en-US" w:eastAsia="zh-CN"/>
        </w:rPr>
        <w:t>2.</w:t>
      </w:r>
      <w:r>
        <w:rPr>
          <w:rFonts w:hint="eastAsia" w:ascii="CESI仿宋-GB2312" w:hAnsi="CESI仿宋-GB2312" w:eastAsia="CESI仿宋-GB2312" w:cs="CESI仿宋-GB2312"/>
          <w:color w:val="000000"/>
          <w:sz w:val="32"/>
          <w:szCs w:val="32"/>
          <w:shd w:val="clear" w:color="auto" w:fill="FFFFFF"/>
        </w:rPr>
        <w:t>持续推动企业诉求“马上办”，切切实实提升政务服务水平。</w:t>
      </w:r>
      <w:r>
        <w:rPr>
          <w:rFonts w:hint="eastAsia" w:ascii="CESI仿宋-GB2312" w:hAnsi="CESI仿宋-GB2312" w:eastAsia="CESI仿宋-GB2312" w:cs="CESI仿宋-GB2312"/>
          <w:sz w:val="32"/>
          <w:szCs w:val="32"/>
        </w:rPr>
        <w:t>2021年11</w:t>
      </w:r>
      <w:r>
        <w:rPr>
          <w:rFonts w:hint="eastAsia" w:ascii="CESI仿宋-GB2312" w:hAnsi="CESI仿宋-GB2312" w:eastAsia="CESI仿宋-GB2312" w:cs="CESI仿宋-GB2312"/>
          <w:sz w:val="32"/>
          <w:szCs w:val="32"/>
          <w:lang w:eastAsia="zh-CN"/>
        </w:rPr>
        <w:t>月，我局</w:t>
      </w:r>
      <w:r>
        <w:rPr>
          <w:rFonts w:hint="eastAsia" w:ascii="CESI仿宋-GB2312" w:hAnsi="CESI仿宋-GB2312" w:eastAsia="CESI仿宋-GB2312" w:cs="CESI仿宋-GB2312"/>
          <w:sz w:val="32"/>
          <w:szCs w:val="32"/>
        </w:rPr>
        <w:t>出台了《中山市城市管理和综合执法局企业诉求“马上办”全时响应工作方案》，通过建立企业诉求“马上办”工作机制，由分管领导和审批服务、信访宣传以及业务科室的负责人组成专班，推动优化提升我局的政务服务质量和水平，第一时间掌握企业需求，第一时间形成决策参考，第一时间跟进企业服务，实现企业诉求响应工作常态化、制度化、规范化，及时解决企业的服务诉求。</w:t>
      </w:r>
      <w:r>
        <w:rPr>
          <w:rFonts w:hint="eastAsia" w:ascii="CESI仿宋-GB2312" w:hAnsi="CESI仿宋-GB2312" w:eastAsia="CESI仿宋-GB2312" w:cs="CESI仿宋-GB2312"/>
          <w:sz w:val="32"/>
          <w:szCs w:val="32"/>
          <w:lang w:eastAsia="zh-CN"/>
        </w:rPr>
        <w:t>通过实施一年以来，取得明显的成效，所有政务服务事项</w:t>
      </w:r>
      <w:r>
        <w:rPr>
          <w:rFonts w:hint="eastAsia" w:ascii="CESI仿宋-GB2312" w:hAnsi="CESI仿宋-GB2312" w:eastAsia="CESI仿宋-GB2312" w:cs="CESI仿宋-GB2312"/>
          <w:sz w:val="32"/>
          <w:szCs w:val="32"/>
        </w:rPr>
        <w:t>严格按照时限审批办结，做到24小时内回应诉求、跟进服务，在提高效率的同时提高办理质量，真正把企业的事情办实办好。</w:t>
      </w:r>
    </w:p>
    <w:p>
      <w:pPr>
        <w:pStyle w:val="10"/>
        <w:keepNext w:val="0"/>
        <w:keepLines w:val="0"/>
        <w:pageBreakBefore w:val="0"/>
        <w:kinsoku/>
        <w:wordWrap/>
        <w:overflowPunct/>
        <w:topLinePunct w:val="0"/>
        <w:autoSpaceDE/>
        <w:autoSpaceDN/>
        <w:bidi w:val="0"/>
        <w:adjustRightInd/>
        <w:snapToGrid/>
        <w:spacing w:line="574"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lang w:val="en-US" w:eastAsia="zh-CN"/>
        </w:rPr>
        <w:t>3.</w:t>
      </w:r>
      <w:r>
        <w:rPr>
          <w:rFonts w:hint="eastAsia" w:ascii="CESI仿宋-GB2312" w:hAnsi="CESI仿宋-GB2312" w:eastAsia="CESI仿宋-GB2312" w:cs="CESI仿宋-GB2312"/>
          <w:color w:val="000000"/>
          <w:sz w:val="32"/>
          <w:szCs w:val="32"/>
        </w:rPr>
        <w:t>建立企业痛点难点化解、基层疑难研讨等工作机制。一是协同相关业务科室开展业务和党建相融合工作，定期组织业务高频企业召开审批及管理工作座谈会、现场办公会，加强企业办理难点堵点问题收集和研判，对反馈的普遍性问题研究出台相关工作机制推动化解。二是</w:t>
      </w:r>
      <w:r>
        <w:rPr>
          <w:rFonts w:hint="eastAsia" w:ascii="CESI仿宋-GB2312" w:hAnsi="CESI仿宋-GB2312" w:eastAsia="CESI仿宋-GB2312" w:cs="CESI仿宋-GB2312"/>
          <w:kern w:val="44"/>
          <w:sz w:val="32"/>
          <w:szCs w:val="32"/>
        </w:rPr>
        <w:t>为解决机构改革后，镇街业务开展不稳定的堵点、痛点，在前年开展“为基层减负，为实干撑腰”党史</w:t>
      </w:r>
      <w:r>
        <w:rPr>
          <w:rFonts w:hint="eastAsia" w:ascii="CESI仿宋-GB2312" w:hAnsi="CESI仿宋-GB2312" w:eastAsia="CESI仿宋-GB2312" w:cs="CESI仿宋-GB2312"/>
          <w:kern w:val="44"/>
          <w:sz w:val="32"/>
          <w:szCs w:val="32"/>
          <w:lang w:eastAsia="zh-CN"/>
        </w:rPr>
        <w:t>学习</w:t>
      </w:r>
      <w:r>
        <w:rPr>
          <w:rFonts w:hint="eastAsia" w:ascii="CESI仿宋-GB2312" w:hAnsi="CESI仿宋-GB2312" w:eastAsia="CESI仿宋-GB2312" w:cs="CESI仿宋-GB2312"/>
          <w:kern w:val="44"/>
          <w:sz w:val="32"/>
          <w:szCs w:val="32"/>
        </w:rPr>
        <w:t>教育主题实践活动基础上，持续落实全市城管审批服务系统“一盘棋”观念，持续深化“简政放权”改革，将活动成效切切实实转化为长效机制日常实施。</w:t>
      </w:r>
    </w:p>
    <w:p>
      <w:pPr>
        <w:pStyle w:val="2"/>
        <w:keepNext w:val="0"/>
        <w:keepLines w:val="0"/>
        <w:pageBreakBefore w:val="0"/>
        <w:numPr>
          <w:ilvl w:val="0"/>
          <w:numId w:val="2"/>
        </w:numPr>
        <w:kinsoku/>
        <w:wordWrap/>
        <w:overflowPunct/>
        <w:topLinePunct w:val="0"/>
        <w:autoSpaceDE/>
        <w:autoSpaceDN/>
        <w:bidi w:val="0"/>
        <w:adjustRightInd/>
        <w:snapToGrid/>
        <w:spacing w:after="0" w:line="574" w:lineRule="exact"/>
        <w:textAlignment w:val="auto"/>
        <w:rPr>
          <w:rFonts w:hint="eastAsia" w:ascii="CESI黑体-GB2312" w:hAnsi="CESI黑体-GB2312" w:eastAsia="CESI黑体-GB2312" w:cs="CESI黑体-GB2312"/>
          <w:snapToGrid w:val="0"/>
          <w:color w:val="000000"/>
          <w:spacing w:val="6"/>
          <w:kern w:val="32"/>
          <w:sz w:val="32"/>
          <w:szCs w:val="32"/>
        </w:rPr>
      </w:pPr>
      <w:r>
        <w:rPr>
          <w:rFonts w:hint="eastAsia" w:ascii="CESI黑体-GB2312" w:hAnsi="CESI黑体-GB2312" w:eastAsia="CESI黑体-GB2312" w:cs="CESI黑体-GB2312"/>
          <w:snapToGrid w:val="0"/>
          <w:color w:val="000000"/>
          <w:spacing w:val="6"/>
          <w:kern w:val="32"/>
          <w:sz w:val="32"/>
          <w:szCs w:val="32"/>
        </w:rPr>
        <w:t>存在问题和困难</w:t>
      </w:r>
    </w:p>
    <w:p>
      <w:pPr>
        <w:pStyle w:val="2"/>
        <w:keepNext w:val="0"/>
        <w:keepLines w:val="0"/>
        <w:pageBreakBefore w:val="0"/>
        <w:kinsoku/>
        <w:wordWrap/>
        <w:overflowPunct/>
        <w:topLinePunct w:val="0"/>
        <w:autoSpaceDE/>
        <w:autoSpaceDN/>
        <w:bidi w:val="0"/>
        <w:adjustRightInd/>
        <w:snapToGrid/>
        <w:spacing w:after="0" w:line="574" w:lineRule="exact"/>
        <w:ind w:firstLine="640" w:firstLineChars="200"/>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color w:val="000000"/>
          <w:sz w:val="32"/>
          <w:szCs w:val="32"/>
        </w:rPr>
        <w:t>（一）本单位持续深入推进“放管服”改革，加快转变政府职能，优化我市营商环境，积极探索推进“信用审批”及“告知承诺制事项”等改革工作，但也切实存在对部分申请单位虚假承诺、违规及不文明施工等行为批后监管不到位、批后环节衔接不上等问题。</w:t>
      </w:r>
    </w:p>
    <w:p>
      <w:pPr>
        <w:pStyle w:val="2"/>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（二）按照国务院减证便民、优化服务的改革要求，除电子证照能共享应用的证明性事项，本单位需通过信息化或其他手段获取该必要材料，实际办理时间比较紧张，存在超过承诺时限的风险。</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574" w:lineRule="exact"/>
        <w:textAlignment w:val="auto"/>
        <w:rPr>
          <w:rFonts w:hint="eastAsia" w:ascii="CESI黑体-GB2312" w:hAnsi="CESI黑体-GB2312" w:eastAsia="CESI黑体-GB2312" w:cs="CESI黑体-GB2312"/>
          <w:snapToGrid w:val="0"/>
          <w:color w:val="000000"/>
          <w:spacing w:val="6"/>
          <w:kern w:val="32"/>
          <w:sz w:val="32"/>
          <w:szCs w:val="32"/>
        </w:rPr>
      </w:pPr>
      <w:r>
        <w:rPr>
          <w:rFonts w:hint="eastAsia" w:ascii="CESI黑体-GB2312" w:hAnsi="CESI黑体-GB2312" w:eastAsia="CESI黑体-GB2312" w:cs="CESI黑体-GB2312"/>
          <w:snapToGrid w:val="0"/>
          <w:color w:val="000000"/>
          <w:spacing w:val="6"/>
          <w:kern w:val="32"/>
          <w:sz w:val="32"/>
          <w:szCs w:val="32"/>
        </w:rPr>
        <w:t>下一步工作措施及有关建议</w:t>
      </w:r>
    </w:p>
    <w:p>
      <w:pPr>
        <w:pStyle w:val="2"/>
        <w:keepNext w:val="0"/>
        <w:keepLines w:val="0"/>
        <w:pageBreakBefore w:val="0"/>
        <w:widowControl w:val="0"/>
        <w:kinsoku/>
        <w:wordWrap/>
        <w:overflowPunct/>
        <w:topLinePunct w:val="0"/>
        <w:autoSpaceDE/>
        <w:autoSpaceDN/>
        <w:bidi w:val="0"/>
        <w:adjustRightInd/>
        <w:snapToGrid/>
        <w:spacing w:after="0" w:line="574" w:lineRule="exact"/>
        <w:ind w:firstLine="688"/>
        <w:textAlignment w:val="auto"/>
        <w:rPr>
          <w:rFonts w:hint="eastAsia" w:ascii="CESI仿宋-GB2312" w:hAnsi="CESI仿宋-GB2312" w:eastAsia="CESI仿宋-GB2312" w:cs="CESI仿宋-GB2312"/>
          <w:snapToGrid w:val="0"/>
          <w:color w:val="000000"/>
          <w:spacing w:val="6"/>
          <w:kern w:val="32"/>
          <w:sz w:val="32"/>
          <w:szCs w:val="32"/>
        </w:rPr>
      </w:pPr>
      <w:r>
        <w:rPr>
          <w:rFonts w:hint="eastAsia" w:ascii="CESI仿宋-GB2312" w:hAnsi="CESI仿宋-GB2312" w:eastAsia="CESI仿宋-GB2312" w:cs="CESI仿宋-GB2312"/>
          <w:snapToGrid w:val="0"/>
          <w:color w:val="000000"/>
          <w:spacing w:val="6"/>
          <w:kern w:val="32"/>
          <w:sz w:val="32"/>
          <w:szCs w:val="32"/>
        </w:rPr>
        <w:t>(一)</w:t>
      </w:r>
      <w:r>
        <w:rPr>
          <w:rFonts w:hint="eastAsia" w:ascii="CESI仿宋-GB2312" w:hAnsi="CESI仿宋-GB2312" w:eastAsia="CESI仿宋-GB2312" w:cs="CESI仿宋-GB2312"/>
          <w:sz w:val="32"/>
          <w:szCs w:val="32"/>
        </w:rPr>
        <w:t xml:space="preserve"> 将严格按照“谁审批、谁监管，谁主管、谁监管”原则，健全监管规则和标准，加强事中事后监管，认真审查企业是否按规定和标准作出承诺，做好审批事项的现场勘查，指导企业严格规范作业和文明施工，提高修复验收通过率。强化批后监督检查，加大对镇街部门开展违法违规行为执法工作的监督指导，及时发现问题和督促整改落实。</w:t>
      </w:r>
    </w:p>
    <w:p>
      <w:pPr>
        <w:keepNext w:val="0"/>
        <w:keepLines w:val="0"/>
        <w:pageBreakBefore w:val="0"/>
        <w:kinsoku/>
        <w:wordWrap/>
        <w:overflowPunct/>
        <w:topLinePunct w:val="0"/>
        <w:autoSpaceDE/>
        <w:autoSpaceDN/>
        <w:bidi w:val="0"/>
        <w:adjustRightInd/>
        <w:snapToGrid/>
        <w:spacing w:line="574" w:lineRule="exact"/>
        <w:ind w:firstLine="645"/>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二）将进一步压缩部分告知承诺制事项的审批时限及审批环节，对条件成熟的事项实行“秒批”，进一步提升政务服务效能。认真排查现场勘验确不需要的证明性材料，除现场勘验必需材料，其余采取告知承诺书方式取代，</w:t>
      </w:r>
      <w:r>
        <w:rPr>
          <w:rFonts w:hint="eastAsia" w:ascii="CESI仿宋-GB2312" w:hAnsi="CESI仿宋-GB2312" w:eastAsia="CESI仿宋-GB2312" w:cs="CESI仿宋-GB2312"/>
          <w:sz w:val="32"/>
          <w:szCs w:val="32"/>
        </w:rPr>
        <w:t>将不履行告知承诺或不按审批要求施工的企业或个人，责令后仍不按要求整改的，列入信用信息黑名单，提高企业自觉履行审批事项承诺内容自觉性，降低事后事中监管的难度</w:t>
      </w:r>
      <w:r>
        <w:rPr>
          <w:rFonts w:hint="eastAsia" w:ascii="CESI仿宋-GB2312" w:hAnsi="CESI仿宋-GB2312" w:eastAsia="CESI仿宋-GB2312" w:cs="CESI仿宋-GB2312"/>
          <w:color w:val="000000"/>
          <w:sz w:val="32"/>
          <w:szCs w:val="32"/>
        </w:rPr>
        <w:t>。</w:t>
      </w: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color w:val="000000"/>
          <w:sz w:val="32"/>
          <w:szCs w:val="32"/>
        </w:rPr>
      </w:pP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color w:val="000000"/>
          <w:sz w:val="32"/>
          <w:szCs w:val="32"/>
        </w:rPr>
      </w:pP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color w:val="000000"/>
          <w:sz w:val="32"/>
          <w:szCs w:val="32"/>
        </w:rPr>
      </w:pP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 xml:space="preserve">                        中山市城市管理和综合执法局</w:t>
      </w:r>
    </w:p>
    <w:p>
      <w:pPr>
        <w:pStyle w:val="2"/>
        <w:keepNext w:val="0"/>
        <w:keepLines w:val="0"/>
        <w:pageBreakBefore w:val="0"/>
        <w:kinsoku/>
        <w:wordWrap/>
        <w:topLinePunct w:val="0"/>
        <w:bidi w:val="0"/>
        <w:spacing w:after="0" w:line="574" w:lineRule="exact"/>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 xml:space="preserve">                            2023年3月2</w:t>
      </w:r>
      <w:r>
        <w:rPr>
          <w:rFonts w:hint="eastAsia" w:ascii="CESI仿宋-GB2312" w:hAnsi="CESI仿宋-GB2312" w:eastAsia="CESI仿宋-GB2312" w:cs="CESI仿宋-GB2312"/>
          <w:color w:val="000000"/>
          <w:sz w:val="32"/>
          <w:szCs w:val="32"/>
          <w:lang w:val="en-US" w:eastAsia="zh-CN"/>
        </w:rPr>
        <w:t>8</w:t>
      </w:r>
      <w:r>
        <w:rPr>
          <w:rFonts w:hint="eastAsia" w:ascii="CESI仿宋-GB2312" w:hAnsi="CESI仿宋-GB2312" w:eastAsia="CESI仿宋-GB2312" w:cs="CESI仿宋-GB2312"/>
          <w:color w:val="000000"/>
          <w:sz w:val="32"/>
          <w:szCs w:val="32"/>
        </w:rPr>
        <w:t>日</w:t>
      </w: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楷体-GB2312">
    <w:altName w:val="楷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E9B9D"/>
    <w:multiLevelType w:val="singleLevel"/>
    <w:tmpl w:val="F76E9B9D"/>
    <w:lvl w:ilvl="0" w:tentative="0">
      <w:start w:val="2"/>
      <w:numFmt w:val="chineseCounting"/>
      <w:suff w:val="nothing"/>
      <w:lvlText w:val="（%1）"/>
      <w:lvlJc w:val="left"/>
      <w:rPr>
        <w:rFonts w:hint="eastAsia"/>
      </w:rPr>
    </w:lvl>
  </w:abstractNum>
  <w:abstractNum w:abstractNumId="1">
    <w:nsid w:val="2F7C7420"/>
    <w:multiLevelType w:val="multilevel"/>
    <w:tmpl w:val="2F7C7420"/>
    <w:lvl w:ilvl="0" w:tentative="0">
      <w:start w:val="2"/>
      <w:numFmt w:val="japaneseCounting"/>
      <w:lvlText w:val="%1、"/>
      <w:lvlJc w:val="left"/>
      <w:pPr>
        <w:ind w:left="1408" w:hanging="720"/>
      </w:pPr>
      <w:rPr>
        <w:rFonts w:hint="default"/>
      </w:rPr>
    </w:lvl>
    <w:lvl w:ilvl="1" w:tentative="0">
      <w:start w:val="1"/>
      <w:numFmt w:val="japaneseCounting"/>
      <w:lvlText w:val="（%2）"/>
      <w:lvlJc w:val="left"/>
      <w:pPr>
        <w:ind w:left="2208" w:hanging="1080"/>
      </w:pPr>
      <w:rPr>
        <w:rFonts w:hint="default" w:ascii="Calibri" w:hAnsi="Calibri" w:eastAsia="仿宋_GB2312" w:cs="Times New Roman"/>
      </w:rPr>
    </w:lvl>
    <w:lvl w:ilvl="2" w:tentative="0">
      <w:start w:val="1"/>
      <w:numFmt w:val="lowerRoman"/>
      <w:lvlText w:val="%3."/>
      <w:lvlJc w:val="right"/>
      <w:pPr>
        <w:ind w:left="2008" w:hanging="440"/>
      </w:pPr>
    </w:lvl>
    <w:lvl w:ilvl="3" w:tentative="0">
      <w:start w:val="1"/>
      <w:numFmt w:val="decimal"/>
      <w:lvlText w:val="%4."/>
      <w:lvlJc w:val="left"/>
      <w:pPr>
        <w:ind w:left="2448" w:hanging="440"/>
      </w:pPr>
    </w:lvl>
    <w:lvl w:ilvl="4" w:tentative="0">
      <w:start w:val="1"/>
      <w:numFmt w:val="lowerLetter"/>
      <w:lvlText w:val="%5)"/>
      <w:lvlJc w:val="left"/>
      <w:pPr>
        <w:ind w:left="2888" w:hanging="440"/>
      </w:pPr>
    </w:lvl>
    <w:lvl w:ilvl="5" w:tentative="0">
      <w:start w:val="1"/>
      <w:numFmt w:val="lowerRoman"/>
      <w:lvlText w:val="%6."/>
      <w:lvlJc w:val="right"/>
      <w:pPr>
        <w:ind w:left="3328" w:hanging="440"/>
      </w:pPr>
    </w:lvl>
    <w:lvl w:ilvl="6" w:tentative="0">
      <w:start w:val="1"/>
      <w:numFmt w:val="decimal"/>
      <w:lvlText w:val="%7."/>
      <w:lvlJc w:val="left"/>
      <w:pPr>
        <w:ind w:left="3768" w:hanging="440"/>
      </w:pPr>
    </w:lvl>
    <w:lvl w:ilvl="7" w:tentative="0">
      <w:start w:val="1"/>
      <w:numFmt w:val="lowerLetter"/>
      <w:lvlText w:val="%8)"/>
      <w:lvlJc w:val="left"/>
      <w:pPr>
        <w:ind w:left="4208" w:hanging="440"/>
      </w:pPr>
    </w:lvl>
    <w:lvl w:ilvl="8" w:tentative="0">
      <w:start w:val="1"/>
      <w:numFmt w:val="lowerRoman"/>
      <w:lvlText w:val="%9."/>
      <w:lvlJc w:val="right"/>
      <w:pPr>
        <w:ind w:left="4648"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55"/>
    <w:rsid w:val="000D0160"/>
    <w:rsid w:val="001604B2"/>
    <w:rsid w:val="0027791C"/>
    <w:rsid w:val="002F73EC"/>
    <w:rsid w:val="00402B6E"/>
    <w:rsid w:val="00565B3B"/>
    <w:rsid w:val="006B032E"/>
    <w:rsid w:val="006D5A40"/>
    <w:rsid w:val="007E0B55"/>
    <w:rsid w:val="00836C63"/>
    <w:rsid w:val="008B21EE"/>
    <w:rsid w:val="008B44B0"/>
    <w:rsid w:val="00962445"/>
    <w:rsid w:val="00A447D7"/>
    <w:rsid w:val="00D05436"/>
    <w:rsid w:val="00DB09D4"/>
    <w:rsid w:val="00E86484"/>
    <w:rsid w:val="00F40E56"/>
    <w:rsid w:val="19DE2EA2"/>
    <w:rsid w:val="3799775E"/>
    <w:rsid w:val="3A699BBE"/>
    <w:rsid w:val="3FBF5806"/>
    <w:rsid w:val="3FFF8667"/>
    <w:rsid w:val="4A892C3B"/>
    <w:rsid w:val="56E6D2CE"/>
    <w:rsid w:val="5FBD2683"/>
    <w:rsid w:val="7DF2F42C"/>
    <w:rsid w:val="ABEFA257"/>
    <w:rsid w:val="CE0932CA"/>
    <w:rsid w:val="E76ADC65"/>
    <w:rsid w:val="EBFD3B7F"/>
    <w:rsid w:val="F0DFFEB7"/>
    <w:rsid w:val="F9AB341B"/>
    <w:rsid w:val="FBF98ADA"/>
    <w:rsid w:val="FFFDD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link w:val="2"/>
    <w:qFormat/>
    <w:uiPriority w:val="0"/>
    <w:rPr>
      <w:rFonts w:ascii="Calibri" w:hAnsi="Calibri" w:eastAsia="宋体" w:cs="Times New Roman"/>
      <w:szCs w:val="24"/>
    </w:rPr>
  </w:style>
  <w:style w:type="paragraph" w:customStyle="1" w:styleId="10">
    <w:name w:val="Normal"/>
    <w:qFormat/>
    <w:uiPriority w:val="0"/>
    <w:pPr>
      <w:jc w:val="both"/>
    </w:pPr>
    <w:rPr>
      <w:rFonts w:ascii="Calibri" w:hAnsi="Calibri" w:eastAsia="宋体" w:cs="Calibri"/>
      <w:kern w:val="2"/>
      <w:sz w:val="21"/>
      <w:szCs w:val="21"/>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444</Words>
  <Characters>2536</Characters>
  <Lines>21</Lines>
  <Paragraphs>5</Paragraphs>
  <TotalTime>85</TotalTime>
  <ScaleCrop>false</ScaleCrop>
  <LinksUpToDate>false</LinksUpToDate>
  <CharactersWithSpaces>2975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2023-03-29T11:26:00Z</dcterms:created>
  <dc:creator>bear leung</dc:creator>
  <cp:lastModifiedBy>曾剑峰</cp:lastModifiedBy>
  <dcterms:modified xsi:type="dcterms:W3CDTF">2024-03-15T08:31:54Z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942335FB5B8C71BFE6D76E6468B6C803</vt:lpwstr>
  </property>
</Properties>
</file>