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eastAsia"/>
          <w:lang w:val="en-US" w:eastAsia="zh-CN"/>
        </w:rPr>
      </w:pPr>
      <w:bookmarkStart w:id="0" w:name="_GoBack"/>
      <w:bookmarkEnd w:id="0"/>
      <w:r>
        <w:rPr>
          <w:rFonts w:hint="eastAsia" w:ascii="宋体" w:hAnsi="宋体" w:eastAsia="宋体" w:cs="宋体"/>
          <w:b w:val="0"/>
          <w:bCs w:val="0"/>
          <w:sz w:val="24"/>
          <w:szCs w:val="32"/>
          <w:lang w:eastAsia="zh-CN"/>
        </w:rPr>
        <w:t>附件</w:t>
      </w:r>
      <w:r>
        <w:rPr>
          <w:rFonts w:hint="eastAsia" w:ascii="宋体" w:hAnsi="宋体" w:eastAsia="宋体" w:cs="宋体"/>
          <w:b w:val="0"/>
          <w:bCs w:val="0"/>
          <w:sz w:val="24"/>
          <w:szCs w:val="32"/>
          <w:lang w:val="en-US" w:eastAsia="zh-CN"/>
        </w:rPr>
        <w:t>1：</w:t>
      </w:r>
    </w:p>
    <w:p>
      <w:pPr>
        <w:jc w:val="center"/>
        <w:outlineLvl w:val="0"/>
        <w:rPr>
          <w:rFonts w:hint="eastAsia"/>
          <w:b/>
          <w:bCs/>
          <w:sz w:val="32"/>
          <w:szCs w:val="40"/>
          <w:lang w:eastAsia="zh-CN"/>
        </w:rPr>
      </w:pPr>
      <w:r>
        <w:rPr>
          <w:rFonts w:hint="eastAsia"/>
          <w:b/>
          <w:bCs/>
          <w:sz w:val="32"/>
          <w:szCs w:val="40"/>
          <w:lang w:eastAsia="zh-CN"/>
        </w:rPr>
        <w:t>用户需求书</w:t>
      </w:r>
    </w:p>
    <w:p>
      <w:pPr>
        <w:pStyle w:val="4"/>
        <w:keepNext/>
        <w:keepLines/>
        <w:pageBreakBefore w:val="0"/>
        <w:widowControl w:val="0"/>
        <w:numPr>
          <w:ilvl w:val="0"/>
          <w:numId w:val="1"/>
        </w:numPr>
        <w:kinsoku/>
        <w:wordWrap/>
        <w:overflowPunct/>
        <w:topLinePunct w:val="0"/>
        <w:autoSpaceDE/>
        <w:autoSpaceDN/>
        <w:bidi w:val="0"/>
        <w:adjustRightInd/>
        <w:snapToGrid/>
        <w:spacing w:before="0" w:after="0" w:line="360" w:lineRule="auto"/>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项目概况</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项目名称：中心基地填埋场维修及提升改造工程</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服务地点：中山市</w:t>
      </w:r>
      <w:r>
        <w:rPr>
          <w:rFonts w:hint="eastAsia" w:ascii="宋体" w:hAnsi="宋体" w:cs="宋体"/>
          <w:sz w:val="24"/>
          <w:szCs w:val="32"/>
          <w:lang w:val="en-US" w:eastAsia="zh-CN"/>
        </w:rPr>
        <w:t>中心组团垃圾综合处理基地。</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本项目采购人为中山市城市管理和综合执法局。</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zh-CN" w:eastAsia="zh-CN"/>
        </w:rPr>
      </w:pPr>
      <w:r>
        <w:rPr>
          <w:rFonts w:hint="eastAsia" w:ascii="宋体" w:hAnsi="宋体" w:eastAsia="宋体" w:cs="宋体"/>
          <w:sz w:val="24"/>
          <w:szCs w:val="32"/>
          <w:lang w:val="en-US" w:eastAsia="zh-CN"/>
        </w:rPr>
        <w:t>服务内容：</w:t>
      </w:r>
    </w:p>
    <w:p>
      <w:pPr>
        <w:pStyle w:val="9"/>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sz w:val="24"/>
          <w:szCs w:val="24"/>
          <w:highlight w:val="none"/>
          <w:lang w:val="en-US" w:eastAsia="zh-CN"/>
        </w:rPr>
      </w:pPr>
      <w:r>
        <w:rPr>
          <w:rFonts w:hint="eastAsia" w:cs="宋体"/>
          <w:sz w:val="24"/>
          <w:szCs w:val="32"/>
          <w:lang w:val="en-US" w:eastAsia="zh-CN"/>
        </w:rPr>
        <w:t>一是清理填埋场东南侧边坡防渗膜下滑塌土体然后采用袋装砂石回填，回填体积约为1540m³，再采用2.0HDPE膜+土工布覆盖，面积约493㎡；二是填埋场60米平台处雨水渠修复，整条沟渠长度约为565.02米,沟渠表面需要清表，铲除原有破损水泥砂浆层，重新采用20mm厚1:2.5水泥砂浆对沟渠进行表面修复,沟渠修复工程量按整条沟渠面积10%计算，实际按现场施工情况结算统计计算实际修复面积；三是增加2套15kw潜水泵需配一个控制电箱及130m电缆；四是用钢盖板将调节池集液井封闭，共四处，总面积约为10㎡，并增设120mDN110软管将填埋场渗滤液直接抽排至污水厂；五是拆除调节池周边DN300集气管道约300m；六是将中心基地的一台火炬搬迁至北部基地使用；七是对6口地下水监测井进行混凝土回填，其中本底井深度约43.5m，扩散井深度约21.5m;其余四口井直径为182mm，深度约10m。本次封井采用C30微膨胀混凝土，封井高度至图中塑料盖帽位置。封6口井混凝土量约2.73立方。</w:t>
      </w:r>
    </w:p>
    <w:p>
      <w:pPr>
        <w:pStyle w:val="9"/>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sz w:val="24"/>
          <w:szCs w:val="24"/>
          <w:highlight w:val="none"/>
          <w:lang w:val="en-US" w:eastAsia="zh-CN"/>
        </w:rPr>
      </w:pPr>
      <w:r>
        <w:rPr>
          <w:rFonts w:hint="eastAsia"/>
          <w:sz w:val="24"/>
          <w:szCs w:val="24"/>
          <w:highlight w:val="none"/>
          <w:lang w:val="en-US" w:eastAsia="zh-CN"/>
        </w:rPr>
        <w:t>5、服务期限：本项目工期60日历天，暂定从2024年5月25日至2024年7月24日，具体开工时间以采购人通知为准。</w:t>
      </w:r>
    </w:p>
    <w:p>
      <w:pPr>
        <w:pStyle w:val="4"/>
        <w:keepNext/>
        <w:keepLines/>
        <w:pageBreakBefore w:val="0"/>
        <w:widowControl w:val="0"/>
        <w:numPr>
          <w:ilvl w:val="0"/>
          <w:numId w:val="1"/>
        </w:numPr>
        <w:kinsoku/>
        <w:wordWrap/>
        <w:overflowPunct/>
        <w:topLinePunct w:val="0"/>
        <w:autoSpaceDE/>
        <w:autoSpaceDN/>
        <w:bidi w:val="0"/>
        <w:adjustRightInd/>
        <w:snapToGrid/>
        <w:spacing w:before="0" w:after="0" w:line="360" w:lineRule="auto"/>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投标要求</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本项目预算金额为人民币</w:t>
      </w:r>
      <w:r>
        <w:rPr>
          <w:rFonts w:hint="eastAsia" w:ascii="宋体" w:hAnsi="宋体" w:cs="宋体"/>
          <w:sz w:val="24"/>
          <w:szCs w:val="32"/>
          <w:highlight w:val="none"/>
          <w:lang w:val="en-US" w:eastAsia="zh-CN"/>
        </w:rPr>
        <w:t>908373.66元，投标上限价为预算价下浮10%，即908373.66×（1-10%）=817536.29元</w:t>
      </w:r>
      <w:r>
        <w:rPr>
          <w:rFonts w:hint="eastAsia" w:ascii="宋体" w:hAnsi="宋体" w:eastAsia="宋体" w:cs="宋体"/>
          <w:sz w:val="24"/>
          <w:szCs w:val="32"/>
          <w:lang w:val="en-US" w:eastAsia="zh-CN"/>
        </w:rPr>
        <w:t>。投标人报价不得超过</w:t>
      </w:r>
      <w:r>
        <w:rPr>
          <w:rFonts w:hint="eastAsia" w:ascii="宋体" w:hAnsi="宋体" w:cs="宋体"/>
          <w:sz w:val="24"/>
          <w:szCs w:val="32"/>
          <w:lang w:val="en-US" w:eastAsia="zh-CN"/>
        </w:rPr>
        <w:t>上</w:t>
      </w:r>
      <w:r>
        <w:rPr>
          <w:rFonts w:hint="eastAsia" w:ascii="宋体" w:hAnsi="宋体" w:eastAsia="宋体" w:cs="宋体"/>
          <w:sz w:val="24"/>
          <w:szCs w:val="32"/>
          <w:lang w:val="en-US" w:eastAsia="zh-CN"/>
        </w:rPr>
        <w:t>限价，否则被视为无效投标。</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sz w:val="24"/>
          <w:szCs w:val="32"/>
          <w:lang w:val="en-US" w:eastAsia="zh-CN"/>
        </w:rPr>
        <w:t>投标人的报价应包括本次招标服务范围及服务期限内所产生的一切费用，包括该项目开始前所需的准备工作、劳务、材料、机械、设备、管理、</w:t>
      </w:r>
      <w:r>
        <w:rPr>
          <w:rFonts w:hint="eastAsia" w:ascii="宋体" w:hAnsi="宋体" w:cs="宋体"/>
          <w:sz w:val="24"/>
          <w:szCs w:val="32"/>
          <w:lang w:val="en-US" w:eastAsia="zh-CN"/>
        </w:rPr>
        <w:t>运输、</w:t>
      </w:r>
      <w:r>
        <w:rPr>
          <w:rFonts w:hint="eastAsia" w:ascii="宋体" w:hAnsi="宋体" w:eastAsia="宋体" w:cs="宋体"/>
          <w:sz w:val="24"/>
          <w:szCs w:val="32"/>
          <w:lang w:val="en-US" w:eastAsia="zh-CN"/>
        </w:rPr>
        <w:t>保险、税费、政策性文件规定及所有责任、义务和一切风险</w:t>
      </w:r>
      <w:r>
        <w:rPr>
          <w:rFonts w:hint="eastAsia" w:ascii="宋体" w:hAnsi="宋体" w:eastAsia="宋体" w:cs="宋体"/>
          <w:sz w:val="24"/>
          <w:szCs w:val="32"/>
          <w:highlight w:val="none"/>
          <w:lang w:val="en-US" w:eastAsia="zh-CN"/>
        </w:rPr>
        <w:t>（《民法典》规定不可抗力除外）费用等所有费用。如中标人在履行合同过程中出现</w:t>
      </w:r>
      <w:r>
        <w:rPr>
          <w:rFonts w:hint="eastAsia" w:ascii="宋体" w:hAnsi="宋体" w:eastAsia="宋体" w:cs="宋体"/>
          <w:sz w:val="24"/>
          <w:szCs w:val="32"/>
          <w:lang w:val="en-US" w:eastAsia="zh-CN"/>
        </w:rPr>
        <w:t>任何遗漏性内容需产生额外费用，均由中标人自行承担，采购人不再支付任何其他费用。</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不组织统一踏勘，投标人可自行到现场踏勘以充分了解项目位置、情况、道路、装卸限制及任何其他足以影响报价的情况，任何因忽视或误解而导致的索赔申请将不被批准。一旦中标，采购人将不再支付中标金额以外的费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pPr>
      <w:r>
        <w:rPr>
          <w:rFonts w:hint="eastAsia" w:ascii="宋体" w:hAnsi="宋体" w:eastAsia="宋体" w:cs="宋体"/>
          <w:sz w:val="24"/>
          <w:szCs w:val="24"/>
        </w:rPr>
        <w:t>★</w:t>
      </w: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资质要求：投标人需具有市政公用工程施工总承包叁级或环保工程专业承包叁级</w:t>
      </w:r>
      <w:r>
        <w:rPr>
          <w:rFonts w:hint="default" w:ascii="宋体" w:hAnsi="宋体" w:cs="宋体"/>
          <w:b/>
          <w:bCs/>
          <w:sz w:val="24"/>
          <w:szCs w:val="24"/>
          <w:lang w:val="en" w:eastAsia="zh-CN"/>
        </w:rPr>
        <w:t>及</w:t>
      </w:r>
      <w:r>
        <w:rPr>
          <w:rFonts w:hint="eastAsia" w:ascii="宋体" w:hAnsi="宋体" w:eastAsia="宋体" w:cs="宋体"/>
          <w:b/>
          <w:bCs/>
          <w:sz w:val="24"/>
          <w:szCs w:val="24"/>
          <w:lang w:val="en-US" w:eastAsia="zh-CN"/>
        </w:rPr>
        <w:t>以上资质。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D37EB"/>
    <w:multiLevelType w:val="singleLevel"/>
    <w:tmpl w:val="9BDD37EB"/>
    <w:lvl w:ilvl="0" w:tentative="0">
      <w:start w:val="1"/>
      <w:numFmt w:val="decimal"/>
      <w:suff w:val="nothing"/>
      <w:lvlText w:val="%1、"/>
      <w:lvlJc w:val="left"/>
    </w:lvl>
  </w:abstractNum>
  <w:abstractNum w:abstractNumId="1">
    <w:nsid w:val="F87ED029"/>
    <w:multiLevelType w:val="singleLevel"/>
    <w:tmpl w:val="F87ED029"/>
    <w:lvl w:ilvl="0" w:tentative="0">
      <w:start w:val="1"/>
      <w:numFmt w:val="decimal"/>
      <w:suff w:val="nothing"/>
      <w:lvlText w:val="%1、"/>
      <w:lvlJc w:val="left"/>
    </w:lvl>
  </w:abstractNum>
  <w:abstractNum w:abstractNumId="2">
    <w:nsid w:val="FD0B77BF"/>
    <w:multiLevelType w:val="singleLevel"/>
    <w:tmpl w:val="FD0B77B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1AFD3D3"/>
    <w:rsid w:val="0DF37C3C"/>
    <w:rsid w:val="26BC5693"/>
    <w:rsid w:val="50980440"/>
    <w:rsid w:val="F1AFD3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next w:val="3"/>
    <w:qFormat/>
    <w:uiPriority w:val="0"/>
    <w:pPr>
      <w:widowControl w:val="0"/>
      <w:jc w:val="both"/>
    </w:pPr>
    <w:rPr>
      <w:kern w:val="2"/>
      <w:sz w:val="28"/>
    </w:rPr>
  </w:style>
  <w:style w:type="paragraph" w:styleId="3">
    <w:name w:val="toc 5"/>
    <w:basedOn w:val="1"/>
    <w:next w:val="1"/>
    <w:qFormat/>
    <w:uiPriority w:val="0"/>
    <w:pPr>
      <w:widowControl w:val="0"/>
      <w:ind w:left="1680"/>
      <w:jc w:val="both"/>
    </w:pPr>
    <w:rPr>
      <w:kern w:val="2"/>
    </w:rPr>
  </w:style>
  <w:style w:type="paragraph" w:styleId="5">
    <w:name w:val="Normal (Web)"/>
    <w:basedOn w:val="1"/>
    <w:qFormat/>
    <w:uiPriority w:val="0"/>
    <w:pPr>
      <w:spacing w:before="100" w:beforeAutospacing="1" w:after="100" w:afterAutospacing="1"/>
    </w:pPr>
    <w:rPr>
      <w:rFonts w:ascii="宋体" w:hAnsi="宋体" w:cs="宋体"/>
      <w:color w:val="000000"/>
      <w:sz w:val="24"/>
      <w:szCs w:val="24"/>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 首行缩进"/>
    <w:basedOn w:val="1"/>
    <w:qFormat/>
    <w:uiPriority w:val="0"/>
    <w:pPr>
      <w:adjustRightInd w:val="0"/>
      <w:ind w:firstLine="437"/>
      <w:jc w:val="left"/>
    </w:pPr>
    <w:rPr>
      <w:rFonts w:hint="eastAsia" w:ascii="宋体" w:hAnsi="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6.33333333333333</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2024-05-14T08:02:00Z</dcterms:created>
  <dc:creator>黄振煜</dc:creator>
  <cp:lastModifiedBy>曾剑峰</cp:lastModifiedBy>
  <dcterms:modified xsi:type="dcterms:W3CDTF">2024-05-14T04:02:41Z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B989CCD4F40C4B1CAC0B4126CAC4F940</vt:lpwstr>
  </property>
</Properties>
</file>