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.如对体检结果有疑义，请按有关规定办理。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D36"/>
    <w:rsid w:val="1E8F3CE3"/>
    <w:rsid w:val="26B40D36"/>
    <w:rsid w:val="47D120E6"/>
    <w:rsid w:val="7FE7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仿宋_GB2312" w:hAnsi="仿宋_GB2312" w:eastAsia="仿宋_GB2312"/>
      <w:spacing w:val="6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2020-03-05T15:24:00Z</dcterms:created>
  <dc:creator>湛嘉惠</dc:creator>
  <cp:lastModifiedBy>湛嘉惠</cp:lastModifiedBy>
  <dcterms:modified xsi:type="dcterms:W3CDTF">2024-06-06T15:09:01Z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6D2F60BFB047400EB0CE98EB771F0C6C</vt:lpwstr>
  </property>
</Properties>
</file>