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rPr>
          <w:rFonts w:hint="eastAsia"/>
          <w:lang w:val="en-US" w:eastAsia="zh-CN"/>
        </w:rPr>
      </w:pPr>
      <w:r>
        <w:rPr>
          <w:rFonts w:hint="eastAsia" w:ascii="宋体" w:hAnsi="宋体" w:eastAsia="宋体" w:cs="宋体"/>
          <w:b w:val="0"/>
          <w:bCs w:val="0"/>
          <w:sz w:val="24"/>
          <w:szCs w:val="32"/>
          <w:lang w:eastAsia="zh-CN"/>
        </w:rPr>
        <w:t>附件</w:t>
      </w:r>
      <w:r>
        <w:rPr>
          <w:rFonts w:hint="eastAsia" w:ascii="宋体" w:hAnsi="宋体" w:eastAsia="宋体" w:cs="宋体"/>
          <w:b w:val="0"/>
          <w:bCs w:val="0"/>
          <w:sz w:val="24"/>
          <w:szCs w:val="32"/>
          <w:lang w:val="en-US" w:eastAsia="zh-CN"/>
        </w:rPr>
        <w:t>1：用户需求书</w:t>
      </w:r>
    </w:p>
    <w:p>
      <w:pPr>
        <w:jc w:val="center"/>
        <w:outlineLvl w:val="0"/>
        <w:rPr>
          <w:rFonts w:hint="eastAsia"/>
          <w:b/>
          <w:bCs/>
          <w:sz w:val="32"/>
          <w:szCs w:val="40"/>
          <w:lang w:eastAsia="zh-CN"/>
        </w:rPr>
      </w:pPr>
      <w:r>
        <w:rPr>
          <w:rFonts w:hint="eastAsia"/>
          <w:b/>
          <w:bCs/>
          <w:sz w:val="32"/>
          <w:szCs w:val="40"/>
          <w:lang w:eastAsia="zh-CN"/>
        </w:rPr>
        <w:t>用户需求书</w:t>
      </w:r>
    </w:p>
    <w:p>
      <w:pPr>
        <w:pStyle w:val="4"/>
        <w:keepNext/>
        <w:keepLines/>
        <w:pageBreakBefore w:val="0"/>
        <w:widowControl w:val="0"/>
        <w:numPr>
          <w:ilvl w:val="0"/>
          <w:numId w:val="1"/>
        </w:numPr>
        <w:kinsoku/>
        <w:wordWrap/>
        <w:overflowPunct/>
        <w:topLinePunct w:val="0"/>
        <w:autoSpaceDE/>
        <w:autoSpaceDN/>
        <w:bidi w:val="0"/>
        <w:adjustRightInd/>
        <w:snapToGrid/>
        <w:spacing w:before="0" w:after="0" w:line="360" w:lineRule="auto"/>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项目概况</w:t>
      </w:r>
    </w:p>
    <w:p>
      <w:pPr>
        <w:keepNext w:val="0"/>
        <w:keepLines w:val="0"/>
        <w:pageBreakBefore w:val="0"/>
        <w:widowControl w:val="0"/>
        <w:numPr>
          <w:ilvl w:val="0"/>
          <w:numId w:val="2"/>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项目名称：中心组团垃圾综合处理基地供水系统改造工程</w:t>
      </w:r>
    </w:p>
    <w:p>
      <w:pPr>
        <w:keepNext w:val="0"/>
        <w:keepLines w:val="0"/>
        <w:pageBreakBefore w:val="0"/>
        <w:widowControl w:val="0"/>
        <w:numPr>
          <w:ilvl w:val="0"/>
          <w:numId w:val="2"/>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服务地点：中山市</w:t>
      </w:r>
      <w:r>
        <w:rPr>
          <w:rFonts w:hint="eastAsia" w:ascii="宋体" w:hAnsi="宋体" w:cs="宋体"/>
          <w:sz w:val="24"/>
          <w:szCs w:val="32"/>
          <w:lang w:val="en-US" w:eastAsia="zh-CN"/>
        </w:rPr>
        <w:t>中心组团垃圾综合处理基地。</w:t>
      </w:r>
    </w:p>
    <w:p>
      <w:pPr>
        <w:keepNext w:val="0"/>
        <w:keepLines w:val="0"/>
        <w:pageBreakBefore w:val="0"/>
        <w:widowControl w:val="0"/>
        <w:numPr>
          <w:ilvl w:val="0"/>
          <w:numId w:val="2"/>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本项目采购人为中山市城市管理和综合执法局。</w:t>
      </w:r>
    </w:p>
    <w:p>
      <w:pPr>
        <w:keepNext w:val="0"/>
        <w:keepLines w:val="0"/>
        <w:pageBreakBefore w:val="0"/>
        <w:widowControl w:val="0"/>
        <w:numPr>
          <w:ilvl w:val="0"/>
          <w:numId w:val="2"/>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32"/>
          <w:lang w:val="zh-CN" w:eastAsia="zh-CN"/>
        </w:rPr>
      </w:pPr>
      <w:r>
        <w:rPr>
          <w:rFonts w:hint="eastAsia" w:ascii="宋体" w:hAnsi="宋体" w:eastAsia="宋体" w:cs="宋体"/>
          <w:sz w:val="24"/>
          <w:szCs w:val="32"/>
          <w:lang w:val="en-US" w:eastAsia="zh-CN"/>
        </w:rPr>
        <w:t>服务内容：</w:t>
      </w:r>
    </w:p>
    <w:p>
      <w:pPr>
        <w:pStyle w:val="7"/>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both"/>
        <w:textAlignment w:val="auto"/>
        <w:rPr>
          <w:rFonts w:hint="eastAsia" w:cs="宋体"/>
          <w:sz w:val="24"/>
          <w:szCs w:val="32"/>
          <w:lang w:val="en-US" w:eastAsia="zh-CN"/>
        </w:rPr>
      </w:pPr>
      <w:r>
        <w:rPr>
          <w:rFonts w:hint="eastAsia" w:cs="宋体"/>
          <w:sz w:val="24"/>
          <w:szCs w:val="32"/>
          <w:lang w:val="en-US" w:eastAsia="zh-CN"/>
        </w:rPr>
        <w:t xml:space="preserve"> (1)从DN500铸铁进水管分接DN200PE管，室外部分埋地，约5m，室内部分采用管道支架固定，约25m，同时抬高低位水池进水管高度约4.5m，进水改为两路DN150钢塑管，由遥控液位控制阀控制进水。</w:t>
      </w:r>
    </w:p>
    <w:p>
      <w:pPr>
        <w:pStyle w:val="7"/>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both"/>
        <w:textAlignment w:val="auto"/>
        <w:rPr>
          <w:rFonts w:hint="eastAsia" w:cs="宋体"/>
          <w:sz w:val="24"/>
          <w:szCs w:val="32"/>
          <w:lang w:val="en-US" w:eastAsia="zh-CN"/>
        </w:rPr>
      </w:pPr>
      <w:r>
        <w:rPr>
          <w:rFonts w:hint="eastAsia" w:cs="宋体"/>
          <w:sz w:val="24"/>
          <w:szCs w:val="32"/>
          <w:lang w:val="en-US" w:eastAsia="zh-CN"/>
        </w:rPr>
        <w:t>（2）无负压供水系统增加一台电接点压力表</w:t>
      </w:r>
    </w:p>
    <w:p>
      <w:pPr>
        <w:pStyle w:val="7"/>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both"/>
        <w:textAlignment w:val="auto"/>
        <w:rPr>
          <w:rFonts w:hint="eastAsia" w:cs="宋体"/>
          <w:sz w:val="24"/>
          <w:szCs w:val="32"/>
          <w:lang w:val="en-US" w:eastAsia="zh-CN"/>
        </w:rPr>
      </w:pPr>
      <w:r>
        <w:rPr>
          <w:rFonts w:hint="eastAsia" w:cs="宋体"/>
          <w:sz w:val="24"/>
          <w:szCs w:val="32"/>
          <w:lang w:val="en-US" w:eastAsia="zh-CN"/>
        </w:rPr>
        <w:t>（3）高位水池增加一条DN200PE进水管，长度约为100m，埋地敷设。</w:t>
      </w:r>
    </w:p>
    <w:p>
      <w:pPr>
        <w:pStyle w:val="7"/>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both"/>
        <w:textAlignment w:val="auto"/>
        <w:rPr>
          <w:rFonts w:hint="eastAsia" w:cs="宋体"/>
          <w:sz w:val="24"/>
          <w:szCs w:val="32"/>
          <w:lang w:val="en-US" w:eastAsia="zh-CN"/>
        </w:rPr>
      </w:pPr>
      <w:r>
        <w:rPr>
          <w:rFonts w:hint="eastAsia" w:cs="宋体"/>
          <w:sz w:val="24"/>
          <w:szCs w:val="32"/>
          <w:lang w:val="en-US" w:eastAsia="zh-CN"/>
        </w:rPr>
        <w:t>（4）对高位水池出水管进行改造，增加遥控液位控制阀。</w:t>
      </w:r>
    </w:p>
    <w:p>
      <w:pPr>
        <w:pStyle w:val="7"/>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both"/>
        <w:textAlignment w:val="auto"/>
        <w:rPr>
          <w:rFonts w:hint="eastAsia" w:cs="宋体"/>
          <w:sz w:val="24"/>
          <w:szCs w:val="32"/>
          <w:lang w:val="en-US" w:eastAsia="zh-CN"/>
        </w:rPr>
      </w:pPr>
      <w:r>
        <w:rPr>
          <w:rFonts w:hint="eastAsia" w:cs="宋体"/>
          <w:sz w:val="24"/>
          <w:szCs w:val="32"/>
        </w:rPr>
        <w:t>具体施工内容详见施工图及预算编制报告。</w:t>
      </w:r>
    </w:p>
    <w:p>
      <w:pPr>
        <w:pStyle w:val="7"/>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both"/>
        <w:textAlignment w:val="auto"/>
        <w:rPr>
          <w:rFonts w:hint="default"/>
          <w:sz w:val="24"/>
          <w:szCs w:val="24"/>
          <w:highlight w:val="none"/>
          <w:lang w:val="en-US" w:eastAsia="zh-CN"/>
        </w:rPr>
      </w:pPr>
      <w:r>
        <w:rPr>
          <w:rFonts w:hint="eastAsia"/>
          <w:sz w:val="24"/>
          <w:szCs w:val="24"/>
          <w:highlight w:val="none"/>
          <w:lang w:val="en-US" w:eastAsia="zh-CN"/>
        </w:rPr>
        <w:t>5、服务期限：本项目工期暂定从2024年8月10日至2024年9月9日，具体开工时间以采购人通知为准。</w:t>
      </w:r>
    </w:p>
    <w:p>
      <w:pPr>
        <w:pStyle w:val="4"/>
        <w:keepNext/>
        <w:keepLines/>
        <w:pageBreakBefore w:val="0"/>
        <w:widowControl w:val="0"/>
        <w:numPr>
          <w:ilvl w:val="0"/>
          <w:numId w:val="1"/>
        </w:numPr>
        <w:kinsoku/>
        <w:wordWrap/>
        <w:overflowPunct/>
        <w:topLinePunct w:val="0"/>
        <w:autoSpaceDE/>
        <w:autoSpaceDN/>
        <w:bidi w:val="0"/>
        <w:adjustRightInd/>
        <w:snapToGrid/>
        <w:spacing w:before="0" w:after="0" w:line="400" w:lineRule="exac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投标要求</w:t>
      </w:r>
    </w:p>
    <w:p>
      <w:pPr>
        <w:keepNext w:val="0"/>
        <w:keepLines w:val="0"/>
        <w:pageBreakBefore w:val="0"/>
        <w:widowControl w:val="0"/>
        <w:numPr>
          <w:ilvl w:val="0"/>
          <w:numId w:val="3"/>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本项目预算金额为人民币</w:t>
      </w:r>
      <w:r>
        <w:rPr>
          <w:rFonts w:hint="eastAsia" w:ascii="宋体" w:hAnsi="宋体" w:cs="宋体"/>
          <w:sz w:val="24"/>
          <w:szCs w:val="32"/>
          <w:highlight w:val="none"/>
        </w:rPr>
        <w:t>156746.12</w:t>
      </w:r>
      <w:r>
        <w:rPr>
          <w:rFonts w:hint="eastAsia" w:ascii="宋体" w:hAnsi="宋体" w:cs="宋体"/>
          <w:sz w:val="24"/>
          <w:szCs w:val="32"/>
          <w:highlight w:val="none"/>
          <w:lang w:val="en-US" w:eastAsia="zh-CN"/>
        </w:rPr>
        <w:t>元，投标上限价为预算价下浮10%，即</w:t>
      </w:r>
      <w:r>
        <w:rPr>
          <w:rFonts w:hint="eastAsia" w:ascii="宋体" w:hAnsi="宋体" w:cs="宋体"/>
          <w:sz w:val="24"/>
          <w:szCs w:val="32"/>
          <w:highlight w:val="none"/>
        </w:rPr>
        <w:t>156746.12×（1-10%）=141071.51</w:t>
      </w:r>
      <w:r>
        <w:rPr>
          <w:rFonts w:hint="eastAsia" w:ascii="宋体" w:hAnsi="宋体" w:cs="宋体"/>
          <w:sz w:val="24"/>
          <w:szCs w:val="32"/>
          <w:highlight w:val="none"/>
          <w:lang w:val="en-US" w:eastAsia="zh-CN"/>
        </w:rPr>
        <w:t>元</w:t>
      </w:r>
      <w:r>
        <w:rPr>
          <w:rFonts w:hint="eastAsia" w:ascii="宋体" w:hAnsi="宋体" w:eastAsia="宋体" w:cs="宋体"/>
          <w:sz w:val="24"/>
          <w:szCs w:val="32"/>
          <w:lang w:val="en-US" w:eastAsia="zh-CN"/>
        </w:rPr>
        <w:t>。投标人报价不得超过</w:t>
      </w:r>
      <w:r>
        <w:rPr>
          <w:rFonts w:hint="eastAsia" w:ascii="宋体" w:hAnsi="宋体" w:cs="宋体"/>
          <w:sz w:val="24"/>
          <w:szCs w:val="32"/>
          <w:lang w:val="en-US" w:eastAsia="zh-CN"/>
        </w:rPr>
        <w:t>上</w:t>
      </w:r>
      <w:r>
        <w:rPr>
          <w:rFonts w:hint="eastAsia" w:ascii="宋体" w:hAnsi="宋体" w:eastAsia="宋体" w:cs="宋体"/>
          <w:sz w:val="24"/>
          <w:szCs w:val="32"/>
          <w:lang w:val="en-US" w:eastAsia="zh-CN"/>
        </w:rPr>
        <w:t>限价，否则被视为无效投标。</w:t>
      </w:r>
    </w:p>
    <w:p>
      <w:pPr>
        <w:keepNext w:val="0"/>
        <w:keepLines w:val="0"/>
        <w:pageBreakBefore w:val="0"/>
        <w:widowControl w:val="0"/>
        <w:numPr>
          <w:ilvl w:val="0"/>
          <w:numId w:val="3"/>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sz w:val="24"/>
          <w:szCs w:val="32"/>
          <w:lang w:val="en-US" w:eastAsia="zh-CN"/>
        </w:rPr>
        <w:t>投标人的报价应包括本次招标服务范围及服务期限内所产生的一切费用，包括该项目开始前所需的准备工作、劳务、材料、机械、设备、管理、</w:t>
      </w:r>
      <w:r>
        <w:rPr>
          <w:rFonts w:hint="eastAsia" w:ascii="宋体" w:hAnsi="宋体" w:cs="宋体"/>
          <w:sz w:val="24"/>
          <w:szCs w:val="32"/>
          <w:lang w:val="en-US" w:eastAsia="zh-CN"/>
        </w:rPr>
        <w:t>运输、</w:t>
      </w:r>
      <w:r>
        <w:rPr>
          <w:rFonts w:hint="eastAsia" w:ascii="宋体" w:hAnsi="宋体" w:eastAsia="宋体" w:cs="宋体"/>
          <w:sz w:val="24"/>
          <w:szCs w:val="32"/>
          <w:lang w:val="en-US" w:eastAsia="zh-CN"/>
        </w:rPr>
        <w:t>保险、税费、政策性文件规定及所有责任、义务和一切风险</w:t>
      </w:r>
      <w:r>
        <w:rPr>
          <w:rFonts w:hint="eastAsia" w:ascii="宋体" w:hAnsi="宋体" w:eastAsia="宋体" w:cs="宋体"/>
          <w:sz w:val="24"/>
          <w:szCs w:val="32"/>
          <w:highlight w:val="none"/>
          <w:lang w:val="en-US" w:eastAsia="zh-CN"/>
        </w:rPr>
        <w:t>（《民法典》规定不可抗力除外）费用等所有费用。如中标人在履行合同过程中出现</w:t>
      </w:r>
      <w:r>
        <w:rPr>
          <w:rFonts w:hint="eastAsia" w:ascii="宋体" w:hAnsi="宋体" w:eastAsia="宋体" w:cs="宋体"/>
          <w:sz w:val="24"/>
          <w:szCs w:val="32"/>
          <w:lang w:val="en-US" w:eastAsia="zh-CN"/>
        </w:rPr>
        <w:t>任何遗漏性内容需产生额外费用，均由中标人自行承担，采购人不再支付任何其他费用。</w:t>
      </w:r>
    </w:p>
    <w:p>
      <w:pPr>
        <w:keepNext w:val="0"/>
        <w:keepLines w:val="0"/>
        <w:pageBreakBefore w:val="0"/>
        <w:widowControl w:val="0"/>
        <w:numPr>
          <w:ilvl w:val="0"/>
          <w:numId w:val="3"/>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本项目不组织统一踏勘，投标人可自行到现场踏勘以充分了解项目位置、情况、道路、装卸限制及任何其他足以影响报价的情况，任何因忽视或误解而导致的索赔申请将不被批准。</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rPr>
        <w:t>★</w:t>
      </w:r>
      <w:r>
        <w:rPr>
          <w:rFonts w:hint="eastAsia" w:ascii="宋体" w:hAnsi="宋体" w:cs="宋体"/>
          <w:b/>
          <w:bCs/>
          <w:sz w:val="24"/>
          <w:szCs w:val="24"/>
          <w:lang w:val="en-US" w:eastAsia="zh-CN"/>
        </w:rPr>
        <w:t>4、</w:t>
      </w:r>
      <w:r>
        <w:rPr>
          <w:rFonts w:hint="eastAsia" w:ascii="宋体" w:hAnsi="宋体" w:eastAsia="宋体" w:cs="宋体"/>
          <w:b/>
          <w:bCs/>
          <w:sz w:val="24"/>
          <w:szCs w:val="24"/>
          <w:lang w:val="en-US" w:eastAsia="zh-CN"/>
        </w:rPr>
        <w:t>资质要求：投标人需具有市政公用工程施工总承包叁级或以上资质。</w:t>
      </w:r>
    </w:p>
    <w:p>
      <w:pPr>
        <w:bidi w:val="0"/>
        <w:rPr>
          <w:rFonts w:hint="eastAsia" w:ascii="宋体" w:hAnsi="宋体" w:eastAsia="宋体" w:cs="宋体"/>
          <w:sz w:val="24"/>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D37EB"/>
    <w:multiLevelType w:val="singleLevel"/>
    <w:tmpl w:val="9BDD37EB"/>
    <w:lvl w:ilvl="0" w:tentative="0">
      <w:start w:val="1"/>
      <w:numFmt w:val="decimal"/>
      <w:suff w:val="nothing"/>
      <w:lvlText w:val="%1、"/>
      <w:lvlJc w:val="left"/>
    </w:lvl>
  </w:abstractNum>
  <w:abstractNum w:abstractNumId="1">
    <w:nsid w:val="F87ED029"/>
    <w:multiLevelType w:val="singleLevel"/>
    <w:tmpl w:val="F87ED029"/>
    <w:lvl w:ilvl="0" w:tentative="0">
      <w:start w:val="1"/>
      <w:numFmt w:val="decimal"/>
      <w:suff w:val="nothing"/>
      <w:lvlText w:val="%1、"/>
      <w:lvlJc w:val="left"/>
    </w:lvl>
  </w:abstractNum>
  <w:abstractNum w:abstractNumId="2">
    <w:nsid w:val="FD0B77BF"/>
    <w:multiLevelType w:val="singleLevel"/>
    <w:tmpl w:val="FD0B77BF"/>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4251DC"/>
    <w:rsid w:val="5D425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kern w:val="2"/>
      <w:sz w:val="28"/>
    </w:rPr>
  </w:style>
  <w:style w:type="paragraph" w:styleId="3">
    <w:name w:val="toc 5"/>
    <w:basedOn w:val="1"/>
    <w:next w:val="1"/>
    <w:qFormat/>
    <w:uiPriority w:val="0"/>
    <w:pPr>
      <w:widowControl w:val="0"/>
      <w:ind w:left="1680"/>
      <w:jc w:val="both"/>
    </w:pPr>
    <w:rPr>
      <w:kern w:val="2"/>
    </w:rPr>
  </w:style>
  <w:style w:type="paragraph" w:customStyle="1" w:styleId="7">
    <w:name w:val="正文 首行缩进"/>
    <w:basedOn w:val="1"/>
    <w:qFormat/>
    <w:uiPriority w:val="0"/>
    <w:pPr>
      <w:adjustRightInd w:val="0"/>
      <w:ind w:firstLine="437"/>
      <w:jc w:val="left"/>
    </w:pPr>
    <w:rPr>
      <w:rFonts w:hint="eastAsia" w:ascii="宋体" w:hAnsi="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中山市城市管理和综合执法局</Company>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2024-07-24T02:12:00Z</dcterms:created>
  <dc:creator>曾剑峰</dc:creator>
  <cp:lastModifiedBy>曾剑峰</cp:lastModifiedBy>
  <dcterms:modified xsi:type="dcterms:W3CDTF">2024-07-24T02:13:07Z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EA66F112AFDF49BABC017C4D74B155A0</vt:lpwstr>
  </property>
</Properties>
</file>