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ind w:firstLine="883"/>
        <w:jc w:val="center"/>
        <w:rPr>
          <w:b/>
          <w:bCs/>
          <w:sz w:val="44"/>
          <w:szCs w:val="44"/>
        </w:rPr>
      </w:pPr>
      <w:bookmarkStart w:id="0" w:name="_GoBack"/>
      <w:bookmarkEnd w:id="0"/>
      <w:r>
        <w:rPr>
          <w:rFonts w:hint="eastAsia"/>
          <w:b/>
          <w:bCs/>
          <w:sz w:val="44"/>
          <w:szCs w:val="44"/>
        </w:rPr>
        <w:t>中山市生活垃圾终端处理设施</w:t>
      </w:r>
    </w:p>
    <w:p>
      <w:pPr>
        <w:pStyle w:val="4"/>
        <w:spacing w:before="0" w:beforeAutospacing="0" w:after="0" w:afterAutospacing="0"/>
        <w:ind w:firstLine="883"/>
        <w:jc w:val="center"/>
        <w:rPr>
          <w:b/>
          <w:bCs/>
          <w:sz w:val="44"/>
          <w:szCs w:val="44"/>
        </w:rPr>
      </w:pPr>
      <w:r>
        <w:rPr>
          <w:rFonts w:hint="eastAsia"/>
          <w:b/>
          <w:bCs/>
          <w:sz w:val="44"/>
          <w:szCs w:val="44"/>
        </w:rPr>
        <w:t>运营监管办法</w:t>
      </w:r>
    </w:p>
    <w:p>
      <w:pPr>
        <w:pStyle w:val="4"/>
        <w:ind w:firstLine="480"/>
        <w:rPr>
          <w:rFonts w:ascii="Calibri" w:hAnsi="Calibri"/>
        </w:rPr>
      </w:pPr>
    </w:p>
    <w:p>
      <w:pPr>
        <w:pStyle w:val="4"/>
        <w:ind w:firstLine="640"/>
        <w:rPr>
          <w:rFonts w:ascii="Calibri" w:hAnsi="Calibri"/>
          <w:sz w:val="32"/>
          <w:szCs w:val="32"/>
        </w:rPr>
      </w:pPr>
      <w:r>
        <w:rPr>
          <w:rFonts w:hint="eastAsia"/>
          <w:sz w:val="32"/>
          <w:szCs w:val="32"/>
        </w:rPr>
        <w:t>第一章 总则</w:t>
      </w:r>
    </w:p>
    <w:p>
      <w:pPr>
        <w:pStyle w:val="4"/>
        <w:ind w:firstLine="640"/>
        <w:rPr>
          <w:rFonts w:ascii="Calibri" w:hAnsi="Calibri"/>
          <w:sz w:val="32"/>
          <w:szCs w:val="32"/>
        </w:rPr>
      </w:pPr>
      <w:r>
        <w:rPr>
          <w:rFonts w:hint="eastAsia"/>
          <w:sz w:val="32"/>
          <w:szCs w:val="32"/>
        </w:rPr>
        <w:t>第二章 运营要求</w:t>
      </w:r>
    </w:p>
    <w:p>
      <w:pPr>
        <w:pStyle w:val="4"/>
        <w:ind w:firstLine="640"/>
        <w:rPr>
          <w:rFonts w:ascii="Calibri" w:hAnsi="Calibri"/>
          <w:sz w:val="32"/>
          <w:szCs w:val="32"/>
        </w:rPr>
      </w:pPr>
      <w:r>
        <w:rPr>
          <w:rFonts w:hint="eastAsia"/>
          <w:sz w:val="32"/>
          <w:szCs w:val="32"/>
        </w:rPr>
        <w:t>第三章 监管要求</w:t>
      </w:r>
    </w:p>
    <w:p>
      <w:pPr>
        <w:pStyle w:val="4"/>
        <w:ind w:firstLine="640"/>
        <w:rPr>
          <w:rFonts w:ascii="Calibri" w:hAnsi="Calibri"/>
          <w:sz w:val="32"/>
          <w:szCs w:val="32"/>
        </w:rPr>
      </w:pPr>
      <w:r>
        <w:rPr>
          <w:rFonts w:hint="eastAsia"/>
          <w:sz w:val="32"/>
          <w:szCs w:val="32"/>
        </w:rPr>
        <w:t>第四章 检查评价</w:t>
      </w:r>
    </w:p>
    <w:p>
      <w:pPr>
        <w:pStyle w:val="4"/>
        <w:ind w:firstLine="640"/>
        <w:rPr>
          <w:sz w:val="32"/>
          <w:szCs w:val="32"/>
        </w:rPr>
      </w:pPr>
      <w:r>
        <w:rPr>
          <w:rFonts w:hint="eastAsia"/>
          <w:sz w:val="32"/>
          <w:szCs w:val="32"/>
        </w:rPr>
        <w:t>第五章 附则</w:t>
      </w:r>
    </w:p>
    <w:p>
      <w:pPr>
        <w:pStyle w:val="3"/>
        <w:rPr>
          <w:sz w:val="32"/>
          <w:szCs w:val="32"/>
        </w:rPr>
      </w:pPr>
    </w:p>
    <w:p>
      <w:pPr>
        <w:pStyle w:val="3"/>
        <w:rPr>
          <w:sz w:val="32"/>
          <w:szCs w:val="32"/>
        </w:rPr>
      </w:pPr>
    </w:p>
    <w:p>
      <w:pPr>
        <w:pStyle w:val="3"/>
        <w:rPr>
          <w:sz w:val="32"/>
          <w:szCs w:val="32"/>
        </w:rPr>
      </w:pPr>
    </w:p>
    <w:p>
      <w:pPr>
        <w:pStyle w:val="3"/>
        <w:rPr>
          <w:sz w:val="32"/>
          <w:szCs w:val="32"/>
        </w:rPr>
      </w:pPr>
    </w:p>
    <w:p>
      <w:pPr>
        <w:pStyle w:val="3"/>
        <w:rPr>
          <w:sz w:val="32"/>
          <w:szCs w:val="32"/>
        </w:rPr>
      </w:pPr>
    </w:p>
    <w:p>
      <w:pPr>
        <w:pStyle w:val="3"/>
        <w:rPr>
          <w:sz w:val="32"/>
          <w:szCs w:val="32"/>
        </w:rPr>
      </w:pPr>
    </w:p>
    <w:p>
      <w:pPr>
        <w:pStyle w:val="3"/>
        <w:rPr>
          <w:sz w:val="32"/>
          <w:szCs w:val="32"/>
        </w:rPr>
      </w:pPr>
    </w:p>
    <w:p>
      <w:pPr>
        <w:pStyle w:val="3"/>
        <w:jc w:val="both"/>
        <w:rPr>
          <w:sz w:val="32"/>
          <w:szCs w:val="32"/>
        </w:rPr>
      </w:pPr>
    </w:p>
    <w:p>
      <w:pPr>
        <w:pStyle w:val="3"/>
        <w:rPr>
          <w:sz w:val="32"/>
          <w:szCs w:val="32"/>
        </w:rPr>
      </w:pPr>
      <w:r>
        <w:rPr>
          <w:rFonts w:hint="eastAsia"/>
          <w:sz w:val="32"/>
          <w:szCs w:val="32"/>
        </w:rPr>
        <w:t>第一章总则</w:t>
      </w:r>
    </w:p>
    <w:p>
      <w:pPr>
        <w:pStyle w:val="4"/>
        <w:ind w:right="84" w:firstLine="643"/>
        <w:rPr>
          <w:rFonts w:ascii="仿宋_GB2312" w:hAnsi="Calibri" w:eastAsia="仿宋_GB2312" w:cs="Calibri"/>
          <w:sz w:val="32"/>
          <w:szCs w:val="32"/>
        </w:rPr>
      </w:pPr>
      <w:r>
        <w:rPr>
          <w:rFonts w:hint="eastAsia" w:ascii="仿宋_GB2312" w:eastAsia="仿宋_GB2312"/>
          <w:b/>
          <w:sz w:val="32"/>
          <w:szCs w:val="32"/>
        </w:rPr>
        <w:t>第一条</w:t>
      </w:r>
      <w:r>
        <w:rPr>
          <w:rFonts w:hint="eastAsia" w:ascii="仿宋_GB2312" w:eastAsia="仿宋_GB2312"/>
          <w:sz w:val="32"/>
          <w:szCs w:val="32"/>
        </w:rPr>
        <w:t xml:space="preserve"> 为加强本市生活垃圾终端处理设施运营监督管理，提高生活垃圾处理水平，确保生活垃圾终端处理设施安全、环保和稳定运行，根据国家、省、市相关法律、法规和标准，制定本办法</w:t>
      </w:r>
      <w:r>
        <w:rPr>
          <w:rFonts w:hint="eastAsia" w:ascii="仿宋_GB2312" w:eastAsia="仿宋_GB2312" w:cs="Calibri"/>
          <w:sz w:val="32"/>
          <w:szCs w:val="32"/>
        </w:rPr>
        <w:t>。</w:t>
      </w:r>
    </w:p>
    <w:p>
      <w:pPr>
        <w:pStyle w:val="4"/>
        <w:ind w:firstLine="643"/>
        <w:rPr>
          <w:rFonts w:ascii="仿宋_GB2312" w:hAnsi="Calibri" w:eastAsia="仿宋_GB2312"/>
          <w:sz w:val="32"/>
          <w:szCs w:val="32"/>
        </w:rPr>
      </w:pPr>
      <w:r>
        <w:rPr>
          <w:rFonts w:hint="eastAsia" w:ascii="仿宋_GB2312" w:eastAsia="仿宋_GB2312"/>
          <w:b/>
          <w:sz w:val="32"/>
          <w:szCs w:val="32"/>
        </w:rPr>
        <w:t>第二条</w:t>
      </w:r>
      <w:r>
        <w:rPr>
          <w:rFonts w:hint="eastAsia" w:ascii="仿宋_GB2312" w:eastAsia="仿宋_GB2312"/>
          <w:sz w:val="32"/>
          <w:szCs w:val="32"/>
        </w:rPr>
        <w:t xml:space="preserve"> 本办法适用于本市行政区域内生活垃圾终端处理设施（以下简称处理设施）的监督管理活动。</w:t>
      </w:r>
    </w:p>
    <w:p>
      <w:pPr>
        <w:pStyle w:val="4"/>
        <w:ind w:firstLine="640"/>
        <w:rPr>
          <w:rFonts w:ascii="仿宋_GB2312" w:eastAsia="仿宋_GB2312"/>
          <w:sz w:val="32"/>
          <w:szCs w:val="32"/>
        </w:rPr>
      </w:pPr>
      <w:r>
        <w:rPr>
          <w:rFonts w:hint="eastAsia" w:ascii="仿宋_GB2312" w:eastAsia="仿宋_GB2312"/>
          <w:sz w:val="32"/>
          <w:szCs w:val="32"/>
        </w:rPr>
        <w:t>本办法所称处理设施是指采用卫生填埋、焚烧、综合处理等工艺技术，以减量化、资源化和无害化为目标，将生活垃圾集中进行处理的规模化终端设施，以及与之相配套的用于处置生活垃圾处理过程中产生的废水、废渣、飞灰等附属产物的设施，包括中心组团垃圾综合处理基地、北部组团垃圾综合处理基地、南部组团垃圾综合处理基地内污水处理厂、炉渣再利用制砖厂、飞灰稳定化处理中心等。</w:t>
      </w:r>
    </w:p>
    <w:p>
      <w:pPr>
        <w:pStyle w:val="4"/>
        <w:ind w:left="0" w:right="0" w:firstLine="643"/>
        <w:rPr>
          <w:rFonts w:ascii="仿宋_GB2312" w:eastAsia="仿宋_GB2312"/>
          <w:sz w:val="32"/>
          <w:szCs w:val="32"/>
        </w:rPr>
      </w:pPr>
      <w:r>
        <w:rPr>
          <w:rFonts w:hint="eastAsia" w:ascii="仿宋_GB2312" w:eastAsia="仿宋_GB2312"/>
          <w:b/>
          <w:sz w:val="32"/>
          <w:szCs w:val="32"/>
        </w:rPr>
        <w:t>第三条</w:t>
      </w:r>
      <w:r>
        <w:rPr>
          <w:rFonts w:hint="eastAsia" w:ascii="仿宋_GB2312" w:eastAsia="仿宋_GB2312"/>
          <w:sz w:val="32"/>
          <w:szCs w:val="32"/>
        </w:rPr>
        <w:t xml:space="preserve"> 市城市管理和综合执法局负责全市处理设施的运营监管工作，组织实施本办法。</w:t>
      </w:r>
    </w:p>
    <w:p>
      <w:pPr>
        <w:pStyle w:val="4"/>
        <w:ind w:left="0" w:right="0" w:firstLine="640"/>
        <w:rPr>
          <w:rFonts w:ascii="仿宋_GB2312" w:eastAsia="仿宋_GB2312"/>
          <w:sz w:val="32"/>
          <w:szCs w:val="32"/>
        </w:rPr>
      </w:pPr>
      <w:r>
        <w:rPr>
          <w:rFonts w:hint="eastAsia" w:ascii="仿宋_GB2312" w:eastAsia="仿宋_GB2312"/>
          <w:sz w:val="32"/>
          <w:szCs w:val="32"/>
        </w:rPr>
        <w:t>市生态环境局在职责范围内，依法做好对生活垃圾处理企业的日常环境监管工作。</w:t>
      </w:r>
    </w:p>
    <w:p>
      <w:pPr>
        <w:pStyle w:val="4"/>
        <w:ind w:firstLine="643"/>
        <w:rPr>
          <w:rFonts w:ascii="仿宋_GB2312" w:eastAsia="仿宋_GB2312"/>
          <w:sz w:val="32"/>
          <w:szCs w:val="32"/>
        </w:rPr>
      </w:pPr>
      <w:r>
        <w:rPr>
          <w:rFonts w:hint="eastAsia" w:ascii="仿宋_GB2312" w:eastAsia="仿宋_GB2312"/>
          <w:b/>
          <w:sz w:val="32"/>
          <w:szCs w:val="32"/>
        </w:rPr>
        <w:t>第四条</w:t>
      </w:r>
      <w:r>
        <w:rPr>
          <w:rFonts w:hint="eastAsia" w:ascii="仿宋_GB2312" w:eastAsia="仿宋_GB2312"/>
          <w:sz w:val="32"/>
          <w:szCs w:val="32"/>
        </w:rPr>
        <w:t>本市处理设施的运营单位（以下简称运营单位）应履行运营管理、安全生产和环境保护等工作的企业主体责任，接受</w:t>
      </w:r>
      <w:r>
        <w:rPr>
          <w:rFonts w:hint="eastAsia" w:ascii="仿宋_GB2312" w:eastAsia="仿宋_GB2312"/>
          <w:sz w:val="32"/>
          <w:szCs w:val="32"/>
          <w:lang w:eastAsia="zh-CN"/>
        </w:rPr>
        <w:t>城市管理和综合执法主管部门</w:t>
      </w:r>
      <w:r>
        <w:rPr>
          <w:rFonts w:hint="eastAsia" w:ascii="仿宋_GB2312" w:eastAsia="仿宋_GB2312"/>
          <w:sz w:val="32"/>
          <w:szCs w:val="32"/>
        </w:rPr>
        <w:t>的监督管理。</w:t>
      </w:r>
    </w:p>
    <w:p>
      <w:pPr>
        <w:pStyle w:val="3"/>
        <w:rPr>
          <w:sz w:val="32"/>
          <w:szCs w:val="32"/>
        </w:rPr>
      </w:pPr>
      <w:r>
        <w:rPr>
          <w:rFonts w:hint="eastAsia"/>
          <w:sz w:val="32"/>
          <w:szCs w:val="32"/>
        </w:rPr>
        <w:t>第二章运营要求</w:t>
      </w:r>
    </w:p>
    <w:p>
      <w:pPr>
        <w:pStyle w:val="4"/>
        <w:ind w:firstLine="643"/>
        <w:rPr>
          <w:rFonts w:ascii="仿宋_GB2312" w:hAnsi="Calibri" w:eastAsia="仿宋_GB2312"/>
          <w:sz w:val="32"/>
          <w:szCs w:val="32"/>
        </w:rPr>
      </w:pPr>
      <w:r>
        <w:rPr>
          <w:rFonts w:hint="eastAsia" w:ascii="仿宋_GB2312" w:eastAsia="仿宋_GB2312"/>
          <w:b/>
          <w:sz w:val="32"/>
          <w:szCs w:val="32"/>
        </w:rPr>
        <w:t>第五条</w:t>
      </w:r>
      <w:r>
        <w:rPr>
          <w:rFonts w:hint="eastAsia" w:ascii="仿宋_GB2312" w:eastAsia="仿宋_GB2312"/>
          <w:sz w:val="32"/>
          <w:szCs w:val="32"/>
        </w:rPr>
        <w:t xml:space="preserve"> 运营单位应当取得生活垃圾处理经营性服务许可，并符合行业其他准入条件。</w:t>
      </w:r>
    </w:p>
    <w:p>
      <w:pPr>
        <w:pStyle w:val="4"/>
        <w:ind w:firstLine="643"/>
        <w:rPr>
          <w:rFonts w:ascii="仿宋_GB2312" w:hAnsi="Calibri" w:eastAsia="仿宋_GB2312"/>
          <w:sz w:val="32"/>
          <w:szCs w:val="32"/>
        </w:rPr>
      </w:pPr>
      <w:r>
        <w:rPr>
          <w:rFonts w:hint="eastAsia" w:ascii="仿宋_GB2312" w:eastAsia="仿宋_GB2312"/>
          <w:b/>
          <w:sz w:val="32"/>
          <w:szCs w:val="32"/>
        </w:rPr>
        <w:t>第六条</w:t>
      </w:r>
      <w:r>
        <w:rPr>
          <w:rFonts w:hint="eastAsia" w:ascii="仿宋_GB2312" w:eastAsia="仿宋_GB2312"/>
          <w:sz w:val="32"/>
          <w:szCs w:val="32"/>
        </w:rPr>
        <w:t xml:space="preserve"> 运营单位应在处理设施排放污染物之前，依法取得排污许可证；未取得排污许可证的，不得排放污染物；取得环保竣工验收和排污许可证后应书面告知</w:t>
      </w:r>
      <w:r>
        <w:rPr>
          <w:rFonts w:hint="eastAsia" w:ascii="仿宋_GB2312" w:eastAsia="仿宋_GB2312"/>
          <w:sz w:val="32"/>
          <w:szCs w:val="32"/>
          <w:lang w:eastAsia="zh-CN"/>
        </w:rPr>
        <w:t>城市管理和综合执法主管部门</w:t>
      </w:r>
      <w:r>
        <w:rPr>
          <w:rFonts w:hint="eastAsia" w:ascii="仿宋_GB2312" w:eastAsia="仿宋_GB2312"/>
          <w:sz w:val="32"/>
          <w:szCs w:val="32"/>
        </w:rPr>
        <w:t>，并做好进入正式运营的相关准备工作。</w:t>
      </w:r>
    </w:p>
    <w:p>
      <w:pPr>
        <w:pStyle w:val="4"/>
        <w:ind w:firstLine="643"/>
        <w:rPr>
          <w:rFonts w:ascii="仿宋_GB2312" w:hAnsi="Calibri" w:eastAsia="仿宋_GB2312"/>
          <w:sz w:val="32"/>
          <w:szCs w:val="32"/>
        </w:rPr>
      </w:pPr>
      <w:r>
        <w:rPr>
          <w:rFonts w:hint="eastAsia" w:ascii="仿宋_GB2312" w:eastAsia="仿宋_GB2312"/>
          <w:b/>
          <w:sz w:val="32"/>
          <w:szCs w:val="32"/>
        </w:rPr>
        <w:t>第七条</w:t>
      </w:r>
      <w:r>
        <w:rPr>
          <w:rFonts w:hint="eastAsia" w:ascii="仿宋_GB2312" w:eastAsia="仿宋_GB2312"/>
          <w:sz w:val="32"/>
          <w:szCs w:val="32"/>
        </w:rPr>
        <w:t xml:space="preserve"> 运营单位关闭处理设施应当报市</w:t>
      </w:r>
      <w:r>
        <w:rPr>
          <w:rFonts w:hint="eastAsia" w:ascii="仿宋_GB2312" w:eastAsia="仿宋_GB2312"/>
          <w:sz w:val="32"/>
          <w:szCs w:val="32"/>
          <w:lang w:eastAsia="zh-CN"/>
        </w:rPr>
        <w:t>城市管理和综合执法主管部门</w:t>
      </w:r>
      <w:r>
        <w:rPr>
          <w:rFonts w:hint="eastAsia" w:ascii="仿宋_GB2312" w:eastAsia="仿宋_GB2312"/>
          <w:sz w:val="32"/>
          <w:szCs w:val="32"/>
        </w:rPr>
        <w:t>和生态环境主管部门核准，并做好后续协调、维护等工作。</w:t>
      </w:r>
    </w:p>
    <w:p>
      <w:pPr>
        <w:pStyle w:val="4"/>
        <w:ind w:firstLine="643"/>
        <w:rPr>
          <w:rFonts w:ascii="仿宋_GB2312" w:hAnsi="Calibri" w:eastAsia="仿宋_GB2312"/>
          <w:sz w:val="32"/>
          <w:szCs w:val="32"/>
        </w:rPr>
      </w:pPr>
      <w:r>
        <w:rPr>
          <w:rFonts w:hint="eastAsia" w:ascii="仿宋_GB2312" w:eastAsia="仿宋_GB2312"/>
          <w:b/>
          <w:sz w:val="32"/>
          <w:szCs w:val="32"/>
        </w:rPr>
        <w:t>第八条</w:t>
      </w:r>
      <w:r>
        <w:rPr>
          <w:rFonts w:hint="eastAsia" w:ascii="仿宋_GB2312" w:eastAsia="仿宋_GB2312"/>
          <w:sz w:val="32"/>
          <w:szCs w:val="32"/>
        </w:rPr>
        <w:t xml:space="preserve"> 运营单位应做好处理设施的日常管理工作：</w:t>
      </w:r>
    </w:p>
    <w:p>
      <w:pPr>
        <w:pStyle w:val="4"/>
        <w:ind w:firstLine="640"/>
        <w:rPr>
          <w:rFonts w:ascii="仿宋_GB2312" w:hAnsi="Calibri" w:eastAsia="仿宋_GB2312"/>
          <w:sz w:val="32"/>
          <w:szCs w:val="32"/>
        </w:rPr>
      </w:pPr>
      <w:r>
        <w:rPr>
          <w:rFonts w:hint="eastAsia" w:ascii="仿宋_GB2312" w:eastAsia="仿宋_GB2312"/>
          <w:sz w:val="32"/>
          <w:szCs w:val="32"/>
        </w:rPr>
        <w:t>（一）建立完善的行政管理、应急管理、安全运营管理、环境监测与保护、设施设备管理、计量管理等规章制度并组织落实；</w:t>
      </w:r>
    </w:p>
    <w:p>
      <w:pPr>
        <w:pStyle w:val="4"/>
        <w:ind w:firstLine="640"/>
        <w:rPr>
          <w:rFonts w:ascii="仿宋_GB2312" w:hAnsi="Calibri" w:eastAsia="仿宋_GB2312"/>
          <w:sz w:val="32"/>
          <w:szCs w:val="32"/>
        </w:rPr>
      </w:pPr>
      <w:r>
        <w:rPr>
          <w:rFonts w:hint="eastAsia" w:ascii="仿宋_GB2312" w:eastAsia="仿宋_GB2312"/>
          <w:sz w:val="32"/>
          <w:szCs w:val="32"/>
        </w:rPr>
        <w:t>（二）建立生活垃圾处理的管理台账，按要求每月（年）向</w:t>
      </w:r>
      <w:r>
        <w:rPr>
          <w:rFonts w:hint="eastAsia" w:ascii="仿宋_GB2312" w:eastAsia="仿宋_GB2312"/>
          <w:sz w:val="32"/>
          <w:szCs w:val="32"/>
          <w:lang w:eastAsia="zh-CN"/>
        </w:rPr>
        <w:t>城市管理和综合执法主管部门</w:t>
      </w:r>
      <w:r>
        <w:rPr>
          <w:rFonts w:hint="eastAsia" w:ascii="仿宋_GB2312" w:eastAsia="仿宋_GB2312"/>
          <w:sz w:val="32"/>
          <w:szCs w:val="32"/>
        </w:rPr>
        <w:t>报送反映运营情况的相关数据、报表等；</w:t>
      </w:r>
    </w:p>
    <w:p>
      <w:pPr>
        <w:pStyle w:val="4"/>
        <w:ind w:firstLine="640"/>
        <w:rPr>
          <w:rFonts w:ascii="仿宋_GB2312" w:hAnsi="Calibri" w:eastAsia="仿宋_GB2312"/>
          <w:sz w:val="32"/>
          <w:szCs w:val="32"/>
        </w:rPr>
      </w:pPr>
      <w:r>
        <w:rPr>
          <w:rFonts w:hint="eastAsia" w:ascii="仿宋_GB2312" w:eastAsia="仿宋_GB2312"/>
          <w:sz w:val="32"/>
          <w:szCs w:val="32"/>
        </w:rPr>
        <w:t>（三）做好设施设备的定期保养、维护和年度检修计划，突发事故或其他原因导致设施设备检修计划变更的，应书面报送</w:t>
      </w:r>
      <w:r>
        <w:rPr>
          <w:rFonts w:hint="eastAsia" w:ascii="仿宋_GB2312" w:eastAsia="仿宋_GB2312"/>
          <w:sz w:val="32"/>
          <w:szCs w:val="32"/>
          <w:lang w:eastAsia="zh-CN"/>
        </w:rPr>
        <w:t>城市管理和综合执法主管部门</w:t>
      </w:r>
      <w:r>
        <w:rPr>
          <w:rFonts w:hint="eastAsia" w:ascii="仿宋_GB2312" w:eastAsia="仿宋_GB2312"/>
          <w:sz w:val="32"/>
          <w:szCs w:val="32"/>
        </w:rPr>
        <w:t>；</w:t>
      </w:r>
    </w:p>
    <w:p>
      <w:pPr>
        <w:pStyle w:val="4"/>
        <w:ind w:firstLine="640"/>
        <w:rPr>
          <w:rFonts w:ascii="仿宋_GB2312" w:hAnsi="Calibri" w:eastAsia="仿宋_GB2312"/>
          <w:sz w:val="32"/>
          <w:szCs w:val="32"/>
        </w:rPr>
      </w:pPr>
      <w:r>
        <w:rPr>
          <w:rFonts w:hint="eastAsia" w:ascii="仿宋_GB2312" w:eastAsia="仿宋_GB2312"/>
          <w:sz w:val="32"/>
          <w:szCs w:val="32"/>
        </w:rPr>
        <w:t>（四）建立工作协调和会议制度，总结通报运营工作，协调解决有关问题；</w:t>
      </w:r>
    </w:p>
    <w:p>
      <w:pPr>
        <w:pStyle w:val="4"/>
        <w:ind w:firstLine="640"/>
        <w:rPr>
          <w:rFonts w:ascii="仿宋_GB2312" w:hAnsi="Calibri" w:eastAsia="仿宋_GB2312"/>
          <w:sz w:val="32"/>
          <w:szCs w:val="32"/>
        </w:rPr>
      </w:pPr>
      <w:r>
        <w:rPr>
          <w:rFonts w:hint="eastAsia" w:ascii="仿宋_GB2312" w:eastAsia="仿宋_GB2312"/>
          <w:sz w:val="32"/>
          <w:szCs w:val="32"/>
        </w:rPr>
        <w:t>（五）做好厂（场）区绿化美化、环卫保洁、道路冲洗，确保厂（场）区干净整洁卫生；</w:t>
      </w:r>
    </w:p>
    <w:p>
      <w:pPr>
        <w:pStyle w:val="4"/>
        <w:ind w:firstLine="640"/>
        <w:rPr>
          <w:rFonts w:ascii="仿宋_GB2312" w:hAnsi="Calibri" w:eastAsia="仿宋_GB2312"/>
          <w:sz w:val="32"/>
          <w:szCs w:val="32"/>
        </w:rPr>
      </w:pPr>
      <w:r>
        <w:rPr>
          <w:rFonts w:hint="eastAsia" w:ascii="仿宋_GB2312" w:eastAsia="仿宋_GB2312"/>
          <w:sz w:val="32"/>
          <w:szCs w:val="32"/>
        </w:rPr>
        <w:t>（六）与周边居民建立良好的沟通协作关系，配合处理信访投诉和相关工作；</w:t>
      </w:r>
    </w:p>
    <w:p>
      <w:pPr>
        <w:pStyle w:val="4"/>
        <w:ind w:firstLine="640"/>
        <w:rPr>
          <w:rFonts w:ascii="仿宋_GB2312" w:hAnsi="Calibri" w:eastAsia="仿宋_GB2312"/>
          <w:sz w:val="32"/>
          <w:szCs w:val="32"/>
        </w:rPr>
      </w:pPr>
      <w:r>
        <w:rPr>
          <w:rFonts w:hint="eastAsia" w:ascii="仿宋_GB2312" w:eastAsia="仿宋_GB2312"/>
          <w:sz w:val="32"/>
          <w:szCs w:val="32"/>
        </w:rPr>
        <w:t>（七）做好处理设施的参观接待、评级、奖项申报等工作。</w:t>
      </w:r>
    </w:p>
    <w:p>
      <w:pPr>
        <w:pStyle w:val="4"/>
        <w:ind w:firstLine="643"/>
        <w:rPr>
          <w:rFonts w:ascii="仿宋_GB2312" w:hAnsi="Calibri" w:eastAsia="仿宋_GB2312"/>
          <w:sz w:val="32"/>
          <w:szCs w:val="32"/>
        </w:rPr>
      </w:pPr>
      <w:r>
        <w:rPr>
          <w:rFonts w:hint="eastAsia" w:ascii="仿宋_GB2312" w:eastAsia="仿宋_GB2312"/>
          <w:b/>
          <w:sz w:val="32"/>
          <w:szCs w:val="32"/>
        </w:rPr>
        <w:t>第九条</w:t>
      </w:r>
      <w:r>
        <w:rPr>
          <w:rFonts w:hint="eastAsia" w:ascii="仿宋_GB2312" w:eastAsia="仿宋_GB2312"/>
          <w:sz w:val="32"/>
          <w:szCs w:val="32"/>
        </w:rPr>
        <w:t xml:space="preserve"> 运营单位在垃圾处理计量过程中，应遵守以下规定：</w:t>
      </w:r>
    </w:p>
    <w:p>
      <w:pPr>
        <w:pStyle w:val="4"/>
        <w:ind w:firstLine="640"/>
        <w:rPr>
          <w:rFonts w:ascii="仿宋_GB2312" w:hAnsi="Calibri" w:eastAsia="仿宋_GB2312"/>
          <w:sz w:val="32"/>
          <w:szCs w:val="32"/>
        </w:rPr>
      </w:pPr>
      <w:r>
        <w:rPr>
          <w:rFonts w:hint="eastAsia" w:ascii="仿宋_GB2312" w:eastAsia="仿宋_GB2312"/>
          <w:sz w:val="32"/>
          <w:szCs w:val="32"/>
        </w:rPr>
        <w:t>（一）按规定配备双向计量设备（电子称重计量系统、流量计量系统等），如实记录生活垃圾、二次废弃物（包括渗滤液、飞灰、灰渣、沼渣、沼液等）、生产耗材的计量数据；</w:t>
      </w:r>
    </w:p>
    <w:p>
      <w:pPr>
        <w:pStyle w:val="4"/>
        <w:ind w:firstLine="640"/>
        <w:rPr>
          <w:rFonts w:ascii="仿宋_GB2312" w:hAnsi="Calibri" w:eastAsia="仿宋_GB2312"/>
          <w:sz w:val="32"/>
          <w:szCs w:val="32"/>
        </w:rPr>
      </w:pPr>
      <w:r>
        <w:rPr>
          <w:rFonts w:hint="eastAsia" w:ascii="仿宋_GB2312" w:eastAsia="仿宋_GB2312"/>
          <w:sz w:val="32"/>
          <w:szCs w:val="32"/>
        </w:rPr>
        <w:t>（二）计量数据应按月报送</w:t>
      </w:r>
      <w:r>
        <w:rPr>
          <w:rFonts w:hint="eastAsia" w:ascii="仿宋_GB2312" w:eastAsia="仿宋_GB2312"/>
          <w:sz w:val="32"/>
          <w:szCs w:val="32"/>
          <w:lang w:eastAsia="zh-CN"/>
        </w:rPr>
        <w:t>城市管理和综合执法主管部门</w:t>
      </w:r>
      <w:r>
        <w:rPr>
          <w:rFonts w:hint="eastAsia" w:ascii="仿宋_GB2312" w:eastAsia="仿宋_GB2312"/>
          <w:sz w:val="32"/>
          <w:szCs w:val="32"/>
        </w:rPr>
        <w:t>核查；</w:t>
      </w:r>
    </w:p>
    <w:p>
      <w:pPr>
        <w:pStyle w:val="4"/>
        <w:ind w:firstLine="640"/>
        <w:rPr>
          <w:rFonts w:ascii="仿宋_GB2312" w:hAnsi="Calibri" w:eastAsia="仿宋_GB2312"/>
          <w:sz w:val="32"/>
          <w:szCs w:val="32"/>
        </w:rPr>
      </w:pPr>
      <w:r>
        <w:rPr>
          <w:rFonts w:hint="eastAsia" w:ascii="仿宋_GB2312" w:eastAsia="仿宋_GB2312"/>
          <w:sz w:val="32"/>
          <w:szCs w:val="32"/>
        </w:rPr>
        <w:t>（三）保证计量系统正常运作，定期委托计量检定机构对计量系统进行检查、校准，并报告</w:t>
      </w:r>
      <w:r>
        <w:rPr>
          <w:rFonts w:hint="eastAsia" w:ascii="仿宋_GB2312" w:eastAsia="仿宋_GB2312"/>
          <w:sz w:val="32"/>
          <w:szCs w:val="32"/>
          <w:lang w:eastAsia="zh-CN"/>
        </w:rPr>
        <w:t>城市管理和综合执法主管部门</w:t>
      </w:r>
      <w:r>
        <w:rPr>
          <w:rFonts w:hint="eastAsia" w:ascii="仿宋_GB2312" w:eastAsia="仿宋_GB2312"/>
          <w:sz w:val="32"/>
          <w:szCs w:val="32"/>
        </w:rPr>
        <w:t>；</w:t>
      </w:r>
    </w:p>
    <w:p>
      <w:pPr>
        <w:pStyle w:val="4"/>
        <w:ind w:firstLine="640"/>
        <w:rPr>
          <w:rFonts w:ascii="仿宋_GB2312" w:hAnsi="Calibri" w:eastAsia="仿宋_GB2312"/>
          <w:sz w:val="32"/>
          <w:szCs w:val="32"/>
        </w:rPr>
      </w:pPr>
      <w:r>
        <w:rPr>
          <w:rFonts w:hint="eastAsia" w:ascii="仿宋_GB2312" w:eastAsia="仿宋_GB2312"/>
          <w:sz w:val="32"/>
          <w:szCs w:val="32"/>
        </w:rPr>
        <w:t>（四）计量系统管理软件的设置和升级改造应当符合远程监控系统对接的要求；</w:t>
      </w:r>
    </w:p>
    <w:p>
      <w:pPr>
        <w:pStyle w:val="4"/>
        <w:ind w:firstLine="640"/>
        <w:rPr>
          <w:rFonts w:ascii="仿宋_GB2312" w:hAnsi="Calibri" w:eastAsia="仿宋_GB2312"/>
          <w:sz w:val="32"/>
          <w:szCs w:val="32"/>
        </w:rPr>
      </w:pPr>
      <w:r>
        <w:rPr>
          <w:rFonts w:hint="eastAsia" w:ascii="仿宋_GB2312" w:eastAsia="仿宋_GB2312"/>
          <w:sz w:val="32"/>
          <w:szCs w:val="32"/>
        </w:rPr>
        <w:t>（五）计量系统发生故障，无法计量时，应当立即告知</w:t>
      </w:r>
      <w:r>
        <w:rPr>
          <w:rFonts w:hint="eastAsia" w:ascii="仿宋_GB2312" w:eastAsia="仿宋_GB2312"/>
          <w:sz w:val="32"/>
          <w:szCs w:val="32"/>
          <w:lang w:eastAsia="zh-CN"/>
        </w:rPr>
        <w:t>城市管理和综合执法主管部门</w:t>
      </w:r>
      <w:r>
        <w:rPr>
          <w:rFonts w:hint="eastAsia" w:ascii="仿宋_GB2312" w:eastAsia="仿宋_GB2312"/>
          <w:sz w:val="32"/>
          <w:szCs w:val="32"/>
        </w:rPr>
        <w:t>及运输单位，故障期间可以采取经</w:t>
      </w:r>
      <w:r>
        <w:rPr>
          <w:rFonts w:hint="eastAsia" w:ascii="仿宋_GB2312" w:eastAsia="仿宋_GB2312"/>
          <w:sz w:val="32"/>
          <w:szCs w:val="32"/>
          <w:lang w:eastAsia="zh-CN"/>
        </w:rPr>
        <w:t>城市管理和综合执法主管部门</w:t>
      </w:r>
      <w:r>
        <w:rPr>
          <w:rFonts w:hint="eastAsia" w:ascii="仿宋_GB2312" w:eastAsia="仿宋_GB2312"/>
          <w:sz w:val="32"/>
          <w:szCs w:val="32"/>
        </w:rPr>
        <w:t>确认的其他有效称重方式进行称重；</w:t>
      </w:r>
    </w:p>
    <w:p>
      <w:pPr>
        <w:pStyle w:val="4"/>
        <w:ind w:firstLine="640"/>
        <w:rPr>
          <w:rFonts w:ascii="仿宋_GB2312" w:hAnsi="Calibri" w:eastAsia="仿宋_GB2312"/>
          <w:sz w:val="32"/>
          <w:szCs w:val="32"/>
        </w:rPr>
      </w:pPr>
      <w:r>
        <w:rPr>
          <w:rFonts w:hint="eastAsia" w:ascii="仿宋_GB2312" w:eastAsia="仿宋_GB2312"/>
          <w:sz w:val="32"/>
          <w:szCs w:val="32"/>
        </w:rPr>
        <w:t>（六）委托第三方统一计量的应按要求配合第三方计量工作。</w:t>
      </w:r>
    </w:p>
    <w:p>
      <w:pPr>
        <w:pStyle w:val="4"/>
        <w:ind w:firstLine="643"/>
        <w:rPr>
          <w:rFonts w:ascii="仿宋_GB2312" w:hAnsi="Calibri" w:eastAsia="仿宋_GB2312"/>
          <w:sz w:val="32"/>
          <w:szCs w:val="32"/>
        </w:rPr>
      </w:pPr>
      <w:r>
        <w:rPr>
          <w:rFonts w:hint="eastAsia" w:ascii="仿宋_GB2312" w:eastAsia="仿宋_GB2312"/>
          <w:b/>
          <w:sz w:val="32"/>
          <w:szCs w:val="32"/>
        </w:rPr>
        <w:t>第十条</w:t>
      </w:r>
      <w:r>
        <w:rPr>
          <w:rFonts w:hint="eastAsia" w:ascii="仿宋_GB2312" w:eastAsia="仿宋_GB2312"/>
          <w:sz w:val="32"/>
          <w:szCs w:val="32"/>
        </w:rPr>
        <w:t xml:space="preserve"> 处理设施运行应当严格执行国家、省的各项技术规范、标准和合同。</w:t>
      </w:r>
    </w:p>
    <w:p>
      <w:pPr>
        <w:pStyle w:val="4"/>
        <w:ind w:firstLine="640"/>
        <w:rPr>
          <w:rFonts w:ascii="仿宋_GB2312" w:hAnsi="Calibri" w:eastAsia="仿宋_GB2312"/>
          <w:sz w:val="32"/>
          <w:szCs w:val="32"/>
        </w:rPr>
      </w:pPr>
      <w:r>
        <w:rPr>
          <w:rFonts w:hint="eastAsia" w:ascii="仿宋_GB2312" w:eastAsia="仿宋_GB2312"/>
          <w:sz w:val="32"/>
          <w:szCs w:val="32"/>
        </w:rPr>
        <w:t>（一）焚烧发电厂应当按照《生活垃圾焚烧厂评价标准》（CJJ/T137）AA级及以上标准运行；</w:t>
      </w:r>
    </w:p>
    <w:p>
      <w:pPr>
        <w:pStyle w:val="4"/>
        <w:ind w:firstLine="640"/>
        <w:rPr>
          <w:rFonts w:ascii="仿宋_GB2312" w:hAnsi="Calibri" w:eastAsia="仿宋_GB2312"/>
          <w:sz w:val="32"/>
          <w:szCs w:val="32"/>
        </w:rPr>
      </w:pPr>
      <w:r>
        <w:rPr>
          <w:rFonts w:hint="eastAsia" w:ascii="仿宋_GB2312" w:eastAsia="仿宋_GB2312"/>
          <w:sz w:val="32"/>
          <w:szCs w:val="32"/>
        </w:rPr>
        <w:t>（二）卫生填埋场应当按照《生活垃圾填埋场无害化评价标准》（CJJ/T107）AA级及以上标准运行；</w:t>
      </w:r>
    </w:p>
    <w:p>
      <w:pPr>
        <w:pStyle w:val="4"/>
        <w:ind w:firstLine="640"/>
        <w:rPr>
          <w:rFonts w:ascii="仿宋_GB2312" w:hAnsi="Calibri" w:eastAsia="仿宋_GB2312"/>
          <w:sz w:val="32"/>
          <w:szCs w:val="32"/>
        </w:rPr>
      </w:pPr>
      <w:r>
        <w:rPr>
          <w:rFonts w:hint="eastAsia" w:ascii="仿宋_GB2312" w:eastAsia="仿宋_GB2312"/>
          <w:sz w:val="32"/>
          <w:szCs w:val="32"/>
        </w:rPr>
        <w:t>（三）运营单位不得擅自改变处理工艺流程。按照国家最新的运营要求和污染物排放标准进行工艺技术更新改造的，改造前应将经专家论证的改造方案和成本报</w:t>
      </w:r>
      <w:r>
        <w:rPr>
          <w:rFonts w:hint="eastAsia" w:ascii="仿宋_GB2312" w:eastAsia="仿宋_GB2312"/>
          <w:sz w:val="32"/>
          <w:szCs w:val="32"/>
          <w:lang w:eastAsia="zh-CN"/>
        </w:rPr>
        <w:t>城市管理和综合执法主管部门</w:t>
      </w:r>
      <w:r>
        <w:rPr>
          <w:rFonts w:hint="eastAsia" w:ascii="仿宋_GB2312" w:eastAsia="仿宋_GB2312"/>
          <w:sz w:val="32"/>
          <w:szCs w:val="32"/>
        </w:rPr>
        <w:t>，并依法办理环保等相关手续。改造后将环保手续和竣工图纸交</w:t>
      </w:r>
      <w:r>
        <w:rPr>
          <w:rFonts w:hint="eastAsia" w:ascii="仿宋_GB2312" w:eastAsia="仿宋_GB2312"/>
          <w:sz w:val="32"/>
          <w:szCs w:val="32"/>
          <w:lang w:eastAsia="zh-CN"/>
        </w:rPr>
        <w:t>城市管理和综合执法主管部门</w:t>
      </w:r>
      <w:r>
        <w:rPr>
          <w:rFonts w:hint="eastAsia" w:ascii="仿宋_GB2312" w:eastAsia="仿宋_GB2312"/>
          <w:sz w:val="32"/>
          <w:szCs w:val="32"/>
        </w:rPr>
        <w:t>备案。</w:t>
      </w:r>
    </w:p>
    <w:p>
      <w:pPr>
        <w:pStyle w:val="4"/>
        <w:ind w:firstLine="643"/>
        <w:rPr>
          <w:rFonts w:ascii="仿宋_GB2312" w:hAnsi="Calibri" w:eastAsia="仿宋_GB2312"/>
          <w:sz w:val="32"/>
          <w:szCs w:val="32"/>
        </w:rPr>
      </w:pPr>
      <w:r>
        <w:rPr>
          <w:rFonts w:hint="eastAsia" w:ascii="仿宋_GB2312" w:eastAsia="仿宋_GB2312"/>
          <w:b/>
          <w:sz w:val="32"/>
          <w:szCs w:val="32"/>
        </w:rPr>
        <w:t>第十一条</w:t>
      </w:r>
      <w:r>
        <w:rPr>
          <w:rFonts w:hint="eastAsia" w:ascii="仿宋_GB2312" w:eastAsia="仿宋_GB2312"/>
          <w:sz w:val="32"/>
          <w:szCs w:val="32"/>
        </w:rPr>
        <w:t xml:space="preserve"> 运营单位应按以下要求加强污染物排放管理工作：</w:t>
      </w:r>
    </w:p>
    <w:p>
      <w:pPr>
        <w:pStyle w:val="4"/>
        <w:ind w:firstLine="640"/>
        <w:rPr>
          <w:rFonts w:ascii="仿宋_GB2312" w:hAnsi="Calibri" w:eastAsia="仿宋_GB2312"/>
          <w:sz w:val="32"/>
          <w:szCs w:val="32"/>
        </w:rPr>
      </w:pPr>
      <w:r>
        <w:rPr>
          <w:rFonts w:hint="eastAsia" w:ascii="仿宋_GB2312" w:eastAsia="仿宋_GB2312"/>
          <w:sz w:val="32"/>
          <w:szCs w:val="32"/>
        </w:rPr>
        <w:t>（一）按照标准规范和工艺设计要求做好运营管理工作，确保污染物排放符合国家标准规范以及项目环境影响报告书的审批要求；</w:t>
      </w:r>
    </w:p>
    <w:p>
      <w:pPr>
        <w:pStyle w:val="4"/>
        <w:ind w:firstLine="640"/>
        <w:rPr>
          <w:rFonts w:ascii="仿宋_GB2312" w:hAnsi="Calibri" w:eastAsia="仿宋_GB2312"/>
          <w:sz w:val="32"/>
          <w:szCs w:val="32"/>
        </w:rPr>
      </w:pPr>
      <w:r>
        <w:rPr>
          <w:rFonts w:hint="eastAsia" w:ascii="仿宋_GB2312" w:eastAsia="仿宋_GB2312"/>
          <w:sz w:val="32"/>
          <w:szCs w:val="32"/>
        </w:rPr>
        <w:t>（二）做好二次废弃物的处理工作，收集、贮存、运输、处置产生的渗滤液、污泥、沼气、沼渣、沼液、炉渣、飞灰等各项废弃物应当满足国家和地方相关法规以及项目环境影响报告书的审批要求；</w:t>
      </w:r>
    </w:p>
    <w:p>
      <w:pPr>
        <w:pStyle w:val="4"/>
        <w:ind w:firstLine="640"/>
        <w:rPr>
          <w:rFonts w:ascii="仿宋_GB2312" w:hAnsi="Calibri" w:eastAsia="仿宋_GB2312"/>
          <w:sz w:val="32"/>
          <w:szCs w:val="32"/>
        </w:rPr>
      </w:pPr>
      <w:r>
        <w:rPr>
          <w:rFonts w:hint="eastAsia" w:ascii="仿宋_GB2312" w:eastAsia="仿宋_GB2312"/>
          <w:sz w:val="32"/>
          <w:szCs w:val="32"/>
        </w:rPr>
        <w:t>（三）按规定配备污染物治理设施，确保各设施正常运行。</w:t>
      </w:r>
    </w:p>
    <w:p>
      <w:pPr>
        <w:pStyle w:val="4"/>
        <w:ind w:firstLine="643"/>
        <w:rPr>
          <w:rFonts w:ascii="仿宋_GB2312" w:hAnsi="Calibri" w:eastAsia="仿宋_GB2312"/>
          <w:sz w:val="32"/>
          <w:szCs w:val="32"/>
        </w:rPr>
      </w:pPr>
      <w:r>
        <w:rPr>
          <w:rFonts w:hint="eastAsia" w:ascii="仿宋_GB2312" w:eastAsia="仿宋_GB2312"/>
          <w:b/>
          <w:sz w:val="32"/>
          <w:szCs w:val="32"/>
        </w:rPr>
        <w:t>第十二条</w:t>
      </w:r>
      <w:r>
        <w:rPr>
          <w:rFonts w:hint="eastAsia" w:ascii="仿宋_GB2312" w:eastAsia="仿宋_GB2312"/>
          <w:sz w:val="32"/>
          <w:szCs w:val="32"/>
        </w:rPr>
        <w:t xml:space="preserve"> 运营单位应当按照以下要求做好环境监测工作：</w:t>
      </w:r>
    </w:p>
    <w:p>
      <w:pPr>
        <w:pStyle w:val="4"/>
        <w:ind w:firstLine="640"/>
        <w:rPr>
          <w:rFonts w:ascii="仿宋_GB2312" w:hAnsi="Calibri" w:eastAsia="仿宋_GB2312"/>
          <w:sz w:val="32"/>
          <w:szCs w:val="32"/>
        </w:rPr>
      </w:pPr>
      <w:r>
        <w:rPr>
          <w:rFonts w:hint="eastAsia" w:ascii="仿宋_GB2312" w:eastAsia="仿宋_GB2312"/>
          <w:sz w:val="32"/>
          <w:szCs w:val="32"/>
        </w:rPr>
        <w:t>（一）按国家相关标准、规范及环境影响评价报告书的审批要求制定环境监测计划并组织实施；</w:t>
      </w:r>
    </w:p>
    <w:p>
      <w:pPr>
        <w:pStyle w:val="4"/>
        <w:ind w:firstLine="640"/>
        <w:rPr>
          <w:rFonts w:ascii="仿宋_GB2312" w:hAnsi="Calibri" w:eastAsia="仿宋_GB2312"/>
          <w:sz w:val="32"/>
          <w:szCs w:val="32"/>
        </w:rPr>
      </w:pPr>
      <w:r>
        <w:rPr>
          <w:rFonts w:hint="eastAsia" w:ascii="仿宋_GB2312" w:eastAsia="仿宋_GB2312"/>
          <w:sz w:val="32"/>
          <w:szCs w:val="32"/>
        </w:rPr>
        <w:t>（二）配备专人负责环境监测工作，自行或委托第三方监测机构定期监测常规污染物排放情况，监测结果及时报</w:t>
      </w:r>
      <w:r>
        <w:rPr>
          <w:rFonts w:hint="eastAsia" w:ascii="仿宋_GB2312" w:eastAsia="仿宋_GB2312"/>
          <w:sz w:val="32"/>
          <w:szCs w:val="32"/>
          <w:lang w:eastAsia="zh-CN"/>
        </w:rPr>
        <w:t>城市管理和综合执法主管部门</w:t>
      </w:r>
      <w:r>
        <w:rPr>
          <w:rFonts w:hint="eastAsia" w:ascii="仿宋_GB2312" w:eastAsia="仿宋_GB2312"/>
          <w:sz w:val="32"/>
          <w:szCs w:val="32"/>
        </w:rPr>
        <w:t>；</w:t>
      </w:r>
    </w:p>
    <w:p>
      <w:pPr>
        <w:pStyle w:val="4"/>
        <w:ind w:firstLine="640"/>
        <w:rPr>
          <w:rFonts w:ascii="仿宋_GB2312" w:hAnsi="Calibri" w:eastAsia="仿宋_GB2312"/>
          <w:sz w:val="32"/>
          <w:szCs w:val="32"/>
        </w:rPr>
      </w:pPr>
      <w:r>
        <w:rPr>
          <w:rFonts w:hint="eastAsia" w:ascii="仿宋_GB2312" w:eastAsia="仿宋_GB2312"/>
          <w:sz w:val="32"/>
          <w:szCs w:val="32"/>
        </w:rPr>
        <w:t>（三）建立生活垃圾处理环境监测台账，包括日处理量、污染物排放等监测情况；</w:t>
      </w:r>
    </w:p>
    <w:p>
      <w:pPr>
        <w:pStyle w:val="4"/>
        <w:ind w:firstLine="640"/>
        <w:rPr>
          <w:rFonts w:ascii="仿宋_GB2312" w:hAnsi="Calibri" w:eastAsia="仿宋_GB2312"/>
          <w:sz w:val="32"/>
          <w:szCs w:val="32"/>
        </w:rPr>
      </w:pPr>
      <w:r>
        <w:rPr>
          <w:rFonts w:hint="eastAsia" w:ascii="仿宋_GB2312" w:eastAsia="仿宋_GB2312"/>
          <w:sz w:val="32"/>
          <w:szCs w:val="32"/>
        </w:rPr>
        <w:t>（四）按照规定设置在线监测系统，在线监测系统应与</w:t>
      </w:r>
      <w:r>
        <w:rPr>
          <w:rFonts w:hint="eastAsia" w:ascii="仿宋_GB2312" w:eastAsia="仿宋_GB2312"/>
          <w:sz w:val="32"/>
          <w:szCs w:val="32"/>
          <w:lang w:eastAsia="zh-CN"/>
        </w:rPr>
        <w:t>城市管理和综合执法主管部门</w:t>
      </w:r>
      <w:r>
        <w:rPr>
          <w:rFonts w:hint="eastAsia" w:ascii="仿宋_GB2312" w:eastAsia="仿宋_GB2312"/>
          <w:sz w:val="32"/>
          <w:szCs w:val="32"/>
        </w:rPr>
        <w:t>、生态环境主管部门监管系统联网。</w:t>
      </w:r>
    </w:p>
    <w:p>
      <w:pPr>
        <w:pStyle w:val="4"/>
        <w:ind w:firstLine="643"/>
        <w:rPr>
          <w:rFonts w:ascii="仿宋_GB2312" w:hAnsi="Calibri" w:eastAsia="仿宋_GB2312"/>
          <w:sz w:val="32"/>
          <w:szCs w:val="32"/>
        </w:rPr>
      </w:pPr>
      <w:r>
        <w:rPr>
          <w:rFonts w:hint="eastAsia" w:ascii="仿宋_GB2312" w:eastAsia="仿宋_GB2312"/>
          <w:b/>
          <w:sz w:val="32"/>
          <w:szCs w:val="32"/>
        </w:rPr>
        <w:t>第十三条</w:t>
      </w:r>
      <w:r>
        <w:rPr>
          <w:rFonts w:hint="eastAsia" w:ascii="仿宋_GB2312" w:eastAsia="仿宋_GB2312"/>
          <w:sz w:val="32"/>
          <w:szCs w:val="32"/>
        </w:rPr>
        <w:t xml:space="preserve"> 运营单位应当按照规定配备、安装远程监控设备及其配套设施：</w:t>
      </w:r>
    </w:p>
    <w:p>
      <w:pPr>
        <w:pStyle w:val="4"/>
        <w:ind w:firstLine="640"/>
        <w:rPr>
          <w:rFonts w:ascii="仿宋_GB2312" w:hAnsi="Calibri" w:eastAsia="仿宋_GB2312"/>
          <w:sz w:val="32"/>
          <w:szCs w:val="32"/>
        </w:rPr>
      </w:pPr>
      <w:r>
        <w:rPr>
          <w:rFonts w:hint="eastAsia" w:ascii="仿宋_GB2312" w:eastAsia="仿宋_GB2312"/>
          <w:sz w:val="32"/>
          <w:szCs w:val="32"/>
        </w:rPr>
        <w:t>（一）建立远程监控设备的运行管理制度；</w:t>
      </w:r>
    </w:p>
    <w:p>
      <w:pPr>
        <w:pStyle w:val="4"/>
        <w:ind w:firstLine="640"/>
        <w:rPr>
          <w:rFonts w:ascii="仿宋_GB2312" w:hAnsi="Calibri" w:eastAsia="仿宋_GB2312"/>
          <w:sz w:val="32"/>
          <w:szCs w:val="32"/>
        </w:rPr>
      </w:pPr>
      <w:r>
        <w:rPr>
          <w:rFonts w:hint="eastAsia" w:ascii="仿宋_GB2312" w:eastAsia="仿宋_GB2312"/>
          <w:sz w:val="32"/>
          <w:szCs w:val="32"/>
        </w:rPr>
        <w:t>（二）按照</w:t>
      </w:r>
      <w:r>
        <w:rPr>
          <w:rFonts w:hint="eastAsia" w:ascii="仿宋_GB2312" w:eastAsia="仿宋_GB2312"/>
          <w:sz w:val="32"/>
          <w:szCs w:val="32"/>
          <w:lang w:eastAsia="zh-CN"/>
        </w:rPr>
        <w:t>城市管理和综合执法主管部门</w:t>
      </w:r>
      <w:r>
        <w:rPr>
          <w:rFonts w:hint="eastAsia" w:ascii="仿宋_GB2312" w:eastAsia="仿宋_GB2312"/>
          <w:sz w:val="32"/>
          <w:szCs w:val="32"/>
        </w:rPr>
        <w:t>要求将有关计量、视频、生产运行、在线监测数据接入远程监控系统；</w:t>
      </w:r>
    </w:p>
    <w:p>
      <w:pPr>
        <w:pStyle w:val="4"/>
        <w:ind w:firstLine="640"/>
        <w:rPr>
          <w:rFonts w:ascii="仿宋_GB2312" w:hAnsi="Calibri" w:eastAsia="仿宋_GB2312"/>
          <w:sz w:val="32"/>
          <w:szCs w:val="32"/>
        </w:rPr>
      </w:pPr>
      <w:r>
        <w:rPr>
          <w:rFonts w:hint="eastAsia" w:ascii="仿宋_GB2312" w:eastAsia="仿宋_GB2312"/>
          <w:sz w:val="32"/>
          <w:szCs w:val="32"/>
        </w:rPr>
        <w:t>（三）远程监控设备需要维修、停用、拆除或者升级的，应当事先报</w:t>
      </w:r>
      <w:r>
        <w:rPr>
          <w:rFonts w:hint="eastAsia" w:ascii="仿宋_GB2312" w:eastAsia="仿宋_GB2312"/>
          <w:sz w:val="32"/>
          <w:szCs w:val="32"/>
          <w:lang w:eastAsia="zh-CN"/>
        </w:rPr>
        <w:t>城市管理和综合执法主管部门</w:t>
      </w:r>
      <w:r>
        <w:rPr>
          <w:rFonts w:hint="eastAsia" w:ascii="仿宋_GB2312" w:eastAsia="仿宋_GB2312"/>
          <w:sz w:val="32"/>
          <w:szCs w:val="32"/>
        </w:rPr>
        <w:t>。</w:t>
      </w:r>
    </w:p>
    <w:p>
      <w:pPr>
        <w:pStyle w:val="4"/>
        <w:ind w:firstLine="643"/>
        <w:rPr>
          <w:rFonts w:ascii="仿宋_GB2312" w:hAnsi="Calibri" w:eastAsia="仿宋_GB2312"/>
          <w:sz w:val="32"/>
          <w:szCs w:val="32"/>
        </w:rPr>
      </w:pPr>
      <w:r>
        <w:rPr>
          <w:rFonts w:hint="eastAsia" w:ascii="仿宋_GB2312" w:eastAsia="仿宋_GB2312"/>
          <w:b/>
          <w:sz w:val="32"/>
          <w:szCs w:val="32"/>
        </w:rPr>
        <w:t>第十四条</w:t>
      </w:r>
      <w:r>
        <w:rPr>
          <w:rFonts w:hint="eastAsia" w:ascii="仿宋_GB2312" w:eastAsia="仿宋_GB2312"/>
          <w:sz w:val="32"/>
          <w:szCs w:val="32"/>
        </w:rPr>
        <w:t xml:space="preserve"> 运营单位应当认真履行安全生产主体责任，明确各层级人员职责：</w:t>
      </w:r>
    </w:p>
    <w:p>
      <w:pPr>
        <w:pStyle w:val="4"/>
        <w:ind w:firstLine="640"/>
        <w:rPr>
          <w:rFonts w:ascii="仿宋_GB2312" w:hAnsi="Calibri" w:eastAsia="仿宋_GB2312"/>
          <w:sz w:val="32"/>
          <w:szCs w:val="32"/>
        </w:rPr>
      </w:pPr>
      <w:r>
        <w:rPr>
          <w:rFonts w:hint="eastAsia" w:ascii="仿宋_GB2312" w:eastAsia="仿宋_GB2312"/>
          <w:sz w:val="32"/>
          <w:szCs w:val="32"/>
        </w:rPr>
        <w:t>（一）建立健全安全生产管理、会议、台账等制度，并抓好落实；</w:t>
      </w:r>
    </w:p>
    <w:p>
      <w:pPr>
        <w:pStyle w:val="4"/>
        <w:ind w:firstLine="640"/>
        <w:rPr>
          <w:rFonts w:ascii="仿宋_GB2312" w:hAnsi="Calibri" w:eastAsia="仿宋_GB2312"/>
          <w:sz w:val="32"/>
          <w:szCs w:val="32"/>
        </w:rPr>
      </w:pPr>
      <w:r>
        <w:rPr>
          <w:rFonts w:hint="eastAsia" w:ascii="仿宋_GB2312" w:eastAsia="仿宋_GB2312"/>
          <w:sz w:val="32"/>
          <w:szCs w:val="32"/>
        </w:rPr>
        <w:t>（二）加强安全生产组织领导，保障安全生产所需经费，配齐各类安全工作人员；</w:t>
      </w:r>
    </w:p>
    <w:p>
      <w:pPr>
        <w:pStyle w:val="4"/>
        <w:ind w:firstLine="640"/>
        <w:rPr>
          <w:rFonts w:ascii="仿宋_GB2312" w:hAnsi="Calibri" w:eastAsia="仿宋_GB2312"/>
          <w:sz w:val="32"/>
          <w:szCs w:val="32"/>
        </w:rPr>
      </w:pPr>
      <w:r>
        <w:rPr>
          <w:rFonts w:hint="eastAsia" w:ascii="仿宋_GB2312" w:eastAsia="仿宋_GB2312"/>
          <w:sz w:val="32"/>
          <w:szCs w:val="32"/>
        </w:rPr>
        <w:t>（三）开展日常安全检查、专项检查和节前检查等，开展安全隐患排查整治，及时消除各类安全隐患；</w:t>
      </w:r>
    </w:p>
    <w:p>
      <w:pPr>
        <w:pStyle w:val="4"/>
        <w:ind w:firstLine="640"/>
        <w:rPr>
          <w:rFonts w:ascii="仿宋_GB2312" w:hAnsi="Calibri" w:eastAsia="仿宋_GB2312"/>
          <w:sz w:val="32"/>
          <w:szCs w:val="32"/>
        </w:rPr>
      </w:pPr>
      <w:r>
        <w:rPr>
          <w:rFonts w:hint="eastAsia" w:ascii="仿宋_GB2312" w:eastAsia="仿宋_GB2312"/>
          <w:sz w:val="32"/>
          <w:szCs w:val="32"/>
        </w:rPr>
        <w:t>（四）强化安全宣传教育培训，开展岗前安全培训、在职轮训和安全员专业培训，确保运营单位员工、运营业务分包单位员工和劳务派遣人员得到安全教育和技术培训；</w:t>
      </w:r>
    </w:p>
    <w:p>
      <w:pPr>
        <w:pStyle w:val="4"/>
        <w:ind w:firstLine="640"/>
        <w:rPr>
          <w:rFonts w:ascii="仿宋_GB2312" w:hAnsi="Calibri" w:eastAsia="仿宋_GB2312"/>
          <w:sz w:val="32"/>
          <w:szCs w:val="32"/>
        </w:rPr>
      </w:pPr>
      <w:r>
        <w:rPr>
          <w:rFonts w:hint="eastAsia" w:ascii="仿宋_GB2312" w:eastAsia="仿宋_GB2312"/>
          <w:sz w:val="32"/>
          <w:szCs w:val="32"/>
        </w:rPr>
        <w:t>（五）落实病媒生物预防控制措施，做好相关预防控制工作；</w:t>
      </w:r>
    </w:p>
    <w:p>
      <w:pPr>
        <w:pStyle w:val="4"/>
        <w:ind w:firstLine="640"/>
        <w:rPr>
          <w:rFonts w:ascii="仿宋_GB2312" w:hAnsi="Calibri" w:eastAsia="仿宋_GB2312"/>
          <w:sz w:val="32"/>
          <w:szCs w:val="32"/>
        </w:rPr>
      </w:pPr>
      <w:r>
        <w:rPr>
          <w:rFonts w:hint="eastAsia" w:ascii="仿宋_GB2312" w:eastAsia="仿宋_GB2312"/>
          <w:sz w:val="32"/>
          <w:szCs w:val="32"/>
        </w:rPr>
        <w:t>（六）履行其他安全生产管理工作。</w:t>
      </w:r>
    </w:p>
    <w:p>
      <w:pPr>
        <w:pStyle w:val="4"/>
        <w:ind w:firstLine="643"/>
        <w:rPr>
          <w:rFonts w:ascii="仿宋_GB2312" w:hAnsi="Calibri" w:eastAsia="仿宋_GB2312"/>
          <w:sz w:val="32"/>
          <w:szCs w:val="32"/>
        </w:rPr>
      </w:pPr>
      <w:r>
        <w:rPr>
          <w:rFonts w:hint="eastAsia" w:ascii="仿宋_GB2312" w:eastAsia="仿宋_GB2312"/>
          <w:b/>
          <w:sz w:val="32"/>
          <w:szCs w:val="32"/>
        </w:rPr>
        <w:t>第十五条</w:t>
      </w:r>
      <w:r>
        <w:rPr>
          <w:rFonts w:hint="eastAsia" w:ascii="仿宋_GB2312" w:eastAsia="仿宋_GB2312"/>
          <w:sz w:val="32"/>
          <w:szCs w:val="32"/>
        </w:rPr>
        <w:t xml:space="preserve"> 运营单位应按照以下规定做好生活垃圾处理的应急管理工作：</w:t>
      </w:r>
    </w:p>
    <w:p>
      <w:pPr>
        <w:pStyle w:val="4"/>
        <w:ind w:firstLine="640"/>
        <w:rPr>
          <w:rFonts w:ascii="仿宋_GB2312" w:hAnsi="Calibri" w:eastAsia="仿宋_GB2312"/>
          <w:sz w:val="32"/>
          <w:szCs w:val="32"/>
        </w:rPr>
      </w:pPr>
      <w:r>
        <w:rPr>
          <w:rFonts w:hint="eastAsia" w:ascii="仿宋_GB2312" w:eastAsia="仿宋_GB2312"/>
          <w:sz w:val="32"/>
          <w:szCs w:val="32"/>
        </w:rPr>
        <w:t>（一）明确应急管理岗位职责和工作要求，组建专职（兼职）应急抢险救援队伍；</w:t>
      </w:r>
    </w:p>
    <w:p>
      <w:pPr>
        <w:pStyle w:val="4"/>
        <w:ind w:firstLine="640"/>
        <w:rPr>
          <w:rFonts w:ascii="仿宋_GB2312" w:hAnsi="Calibri" w:eastAsia="仿宋_GB2312"/>
          <w:sz w:val="32"/>
          <w:szCs w:val="32"/>
        </w:rPr>
      </w:pPr>
      <w:r>
        <w:rPr>
          <w:rFonts w:hint="eastAsia" w:ascii="仿宋_GB2312" w:eastAsia="仿宋_GB2312"/>
          <w:sz w:val="32"/>
          <w:szCs w:val="32"/>
        </w:rPr>
        <w:t>（二）建立各类突发事件、临时生活垃圾处理等应急预案制度，同时建立健全应急物资储备保障制度；</w:t>
      </w:r>
    </w:p>
    <w:p>
      <w:pPr>
        <w:pStyle w:val="4"/>
        <w:ind w:firstLine="640"/>
        <w:rPr>
          <w:rFonts w:ascii="仿宋_GB2312" w:hAnsi="Calibri" w:eastAsia="仿宋_GB2312"/>
          <w:sz w:val="32"/>
          <w:szCs w:val="32"/>
        </w:rPr>
      </w:pPr>
      <w:r>
        <w:rPr>
          <w:rFonts w:hint="eastAsia" w:ascii="仿宋_GB2312" w:eastAsia="仿宋_GB2312"/>
          <w:sz w:val="32"/>
          <w:szCs w:val="32"/>
        </w:rPr>
        <w:t>（三）加强应急知识的宣传普及，定期组织应急预案演练；</w:t>
      </w:r>
    </w:p>
    <w:p>
      <w:pPr>
        <w:pStyle w:val="4"/>
        <w:ind w:firstLine="640"/>
        <w:rPr>
          <w:rFonts w:ascii="仿宋_GB2312" w:hAnsi="Calibri" w:eastAsia="仿宋_GB2312"/>
          <w:sz w:val="32"/>
          <w:szCs w:val="32"/>
        </w:rPr>
      </w:pPr>
      <w:r>
        <w:rPr>
          <w:rFonts w:hint="eastAsia" w:ascii="仿宋_GB2312" w:eastAsia="仿宋_GB2312"/>
          <w:sz w:val="32"/>
          <w:szCs w:val="32"/>
        </w:rPr>
        <w:t>（四）遇有危及生命安全或重大财产安全的突发事件时，立即启动应急预案，按照突发事件和重大事件上报程序及时上报，同时做好先期处理和公共关系应对等工作。</w:t>
      </w:r>
    </w:p>
    <w:p>
      <w:pPr>
        <w:pStyle w:val="4"/>
        <w:ind w:firstLine="643"/>
        <w:rPr>
          <w:rFonts w:ascii="仿宋_GB2312" w:hAnsi="Calibri" w:eastAsia="仿宋_GB2312"/>
          <w:sz w:val="32"/>
          <w:szCs w:val="32"/>
        </w:rPr>
      </w:pPr>
      <w:r>
        <w:rPr>
          <w:rFonts w:hint="eastAsia" w:ascii="仿宋_GB2312" w:eastAsia="仿宋_GB2312"/>
          <w:b/>
          <w:sz w:val="32"/>
          <w:szCs w:val="32"/>
        </w:rPr>
        <w:t>第十六条</w:t>
      </w:r>
      <w:r>
        <w:rPr>
          <w:rFonts w:hint="eastAsia" w:ascii="仿宋_GB2312" w:eastAsia="仿宋_GB2312"/>
          <w:sz w:val="32"/>
          <w:szCs w:val="32"/>
        </w:rPr>
        <w:t xml:space="preserve"> 运营单位应当建立环境信息公开制度，按照以下规定做好信息公开工作：</w:t>
      </w:r>
    </w:p>
    <w:p>
      <w:pPr>
        <w:pStyle w:val="4"/>
        <w:ind w:firstLine="640"/>
        <w:rPr>
          <w:rFonts w:ascii="仿宋_GB2312" w:hAnsi="Calibri" w:eastAsia="仿宋_GB2312"/>
          <w:sz w:val="32"/>
          <w:szCs w:val="32"/>
        </w:rPr>
      </w:pPr>
      <w:r>
        <w:rPr>
          <w:rFonts w:hint="eastAsia" w:ascii="仿宋_GB2312" w:eastAsia="仿宋_GB2312"/>
          <w:sz w:val="32"/>
          <w:szCs w:val="32"/>
        </w:rPr>
        <w:t>（一）按生态环境主管部门要求在信息公开平台向社会公开环境监测信息；</w:t>
      </w:r>
    </w:p>
    <w:p>
      <w:pPr>
        <w:pStyle w:val="4"/>
        <w:ind w:firstLine="640"/>
        <w:rPr>
          <w:rFonts w:ascii="仿宋_GB2312" w:hAnsi="Calibri" w:eastAsia="仿宋_GB2312"/>
          <w:sz w:val="32"/>
          <w:szCs w:val="32"/>
        </w:rPr>
      </w:pPr>
      <w:r>
        <w:rPr>
          <w:rFonts w:hint="eastAsia" w:ascii="仿宋_GB2312" w:eastAsia="仿宋_GB2312"/>
          <w:sz w:val="32"/>
          <w:szCs w:val="32"/>
        </w:rPr>
        <w:t>（二）自觉接受社会监督，做好环保宣传工作，定期向公众开放处理设施；</w:t>
      </w:r>
    </w:p>
    <w:p>
      <w:pPr>
        <w:pStyle w:val="4"/>
        <w:ind w:firstLine="640"/>
        <w:rPr>
          <w:rFonts w:ascii="仿宋_GB2312" w:hAnsi="Calibri" w:eastAsia="仿宋_GB2312"/>
          <w:sz w:val="32"/>
          <w:szCs w:val="32"/>
        </w:rPr>
      </w:pPr>
      <w:r>
        <w:rPr>
          <w:rFonts w:hint="eastAsia" w:ascii="仿宋_GB2312" w:eastAsia="仿宋_GB2312"/>
          <w:sz w:val="32"/>
          <w:szCs w:val="32"/>
        </w:rPr>
        <w:t>（三）规范新闻报道，接受媒体采访的应当事先报市</w:t>
      </w:r>
      <w:r>
        <w:rPr>
          <w:rFonts w:hint="eastAsia" w:ascii="仿宋_GB2312" w:eastAsia="仿宋_GB2312"/>
          <w:sz w:val="32"/>
          <w:szCs w:val="32"/>
          <w:lang w:eastAsia="zh-CN"/>
        </w:rPr>
        <w:t>城市管理和综合执法主管部门</w:t>
      </w:r>
      <w:r>
        <w:rPr>
          <w:rFonts w:hint="eastAsia" w:ascii="仿宋_GB2312" w:eastAsia="仿宋_GB2312"/>
          <w:sz w:val="32"/>
          <w:szCs w:val="32"/>
        </w:rPr>
        <w:t>。</w:t>
      </w:r>
    </w:p>
    <w:p>
      <w:pPr>
        <w:pStyle w:val="4"/>
        <w:ind w:firstLine="643"/>
        <w:rPr>
          <w:rFonts w:ascii="仿宋_GB2312" w:hAnsi="Calibri" w:eastAsia="仿宋_GB2312"/>
          <w:sz w:val="32"/>
          <w:szCs w:val="32"/>
        </w:rPr>
      </w:pPr>
      <w:r>
        <w:rPr>
          <w:rFonts w:hint="eastAsia" w:ascii="仿宋_GB2312" w:eastAsia="仿宋_GB2312"/>
          <w:b/>
          <w:sz w:val="32"/>
          <w:szCs w:val="32"/>
        </w:rPr>
        <w:t>第十七条</w:t>
      </w:r>
      <w:r>
        <w:rPr>
          <w:rFonts w:hint="eastAsia" w:ascii="仿宋_GB2312" w:eastAsia="仿宋_GB2312"/>
          <w:sz w:val="32"/>
          <w:szCs w:val="32"/>
        </w:rPr>
        <w:t xml:space="preserve"> 建立运营单位诚信评价制度。运营单位存在弄虚作假行为，或违反规定运营，造成严重后果的，由</w:t>
      </w:r>
      <w:r>
        <w:rPr>
          <w:rFonts w:hint="eastAsia" w:ascii="仿宋_GB2312" w:eastAsia="仿宋_GB2312"/>
          <w:sz w:val="32"/>
          <w:szCs w:val="32"/>
          <w:lang w:eastAsia="zh-CN"/>
        </w:rPr>
        <w:t>城市管理和综合执法主管部门</w:t>
      </w:r>
      <w:r>
        <w:rPr>
          <w:rFonts w:hint="eastAsia" w:ascii="仿宋_GB2312" w:eastAsia="仿宋_GB2312"/>
          <w:sz w:val="32"/>
          <w:szCs w:val="32"/>
        </w:rPr>
        <w:t>依照国家、省、市有关规定予以处罚。</w:t>
      </w:r>
    </w:p>
    <w:p>
      <w:pPr>
        <w:pStyle w:val="4"/>
        <w:ind w:firstLine="643"/>
        <w:rPr>
          <w:rFonts w:ascii="仿宋_GB2312" w:eastAsia="仿宋_GB2312"/>
          <w:sz w:val="32"/>
          <w:szCs w:val="32"/>
        </w:rPr>
      </w:pPr>
      <w:r>
        <w:rPr>
          <w:rFonts w:hint="eastAsia" w:ascii="仿宋_GB2312" w:eastAsia="仿宋_GB2312"/>
          <w:b/>
          <w:sz w:val="32"/>
          <w:szCs w:val="32"/>
        </w:rPr>
        <w:t>第十八条</w:t>
      </w:r>
      <w:r>
        <w:rPr>
          <w:rFonts w:hint="eastAsia" w:ascii="仿宋_GB2312" w:eastAsia="仿宋_GB2312"/>
          <w:sz w:val="32"/>
          <w:szCs w:val="32"/>
        </w:rPr>
        <w:t xml:space="preserve"> 生活垃圾处理过程中有违反相关政策、标准、规范以及本办法要求的，运营单位应当及时整改；违反合同规定的，按照合同条款处理，并纳入监管评分扣分；违规行为严重，造成不良后果或影响的，由有关部门依照国家、省、市的有关规定予以处罚。</w:t>
      </w:r>
    </w:p>
    <w:p>
      <w:pPr>
        <w:pStyle w:val="3"/>
        <w:rPr>
          <w:sz w:val="32"/>
          <w:szCs w:val="32"/>
        </w:rPr>
      </w:pPr>
      <w:r>
        <w:rPr>
          <w:rFonts w:hint="eastAsia"/>
          <w:sz w:val="32"/>
          <w:szCs w:val="32"/>
        </w:rPr>
        <w:t>第三章监管要求</w:t>
      </w:r>
    </w:p>
    <w:p>
      <w:pPr>
        <w:pStyle w:val="4"/>
        <w:ind w:firstLine="643"/>
        <w:rPr>
          <w:rFonts w:ascii="仿宋_GB2312" w:hAnsi="Calibri" w:eastAsia="仿宋_GB2312"/>
          <w:sz w:val="32"/>
          <w:szCs w:val="32"/>
        </w:rPr>
      </w:pPr>
      <w:r>
        <w:rPr>
          <w:rFonts w:hint="eastAsia" w:ascii="仿宋_GB2312" w:eastAsia="仿宋_GB2312"/>
          <w:b/>
          <w:sz w:val="32"/>
          <w:szCs w:val="32"/>
        </w:rPr>
        <w:t>第十九条</w:t>
      </w:r>
      <w:r>
        <w:rPr>
          <w:rFonts w:hint="eastAsia" w:ascii="仿宋_GB2312" w:eastAsia="仿宋_GB2312"/>
          <w:sz w:val="32"/>
          <w:szCs w:val="32"/>
        </w:rPr>
        <w:t xml:space="preserve"> 运营单位应于生活垃圾处理满足环保排放达标要求后向</w:t>
      </w:r>
      <w:r>
        <w:rPr>
          <w:rFonts w:hint="eastAsia" w:ascii="仿宋_GB2312" w:eastAsia="仿宋_GB2312"/>
          <w:sz w:val="32"/>
          <w:szCs w:val="32"/>
          <w:lang w:eastAsia="zh-CN"/>
        </w:rPr>
        <w:t>城市管理和综合执法主管部门</w:t>
      </w:r>
      <w:r>
        <w:rPr>
          <w:rFonts w:hint="eastAsia" w:ascii="仿宋_GB2312" w:eastAsia="仿宋_GB2312"/>
          <w:sz w:val="32"/>
          <w:szCs w:val="32"/>
        </w:rPr>
        <w:t>申请正式运营。批复后，</w:t>
      </w:r>
      <w:r>
        <w:rPr>
          <w:rFonts w:hint="eastAsia" w:ascii="仿宋_GB2312" w:eastAsia="仿宋_GB2312"/>
          <w:sz w:val="32"/>
          <w:szCs w:val="32"/>
          <w:lang w:eastAsia="zh-CN"/>
        </w:rPr>
        <w:t>城市管理和综合执法主管部门</w:t>
      </w:r>
      <w:r>
        <w:rPr>
          <w:rFonts w:hint="eastAsia" w:ascii="仿宋_GB2312" w:eastAsia="仿宋_GB2312"/>
          <w:sz w:val="32"/>
          <w:szCs w:val="32"/>
        </w:rPr>
        <w:t>正式启动对处理设施的运营监管。</w:t>
      </w:r>
    </w:p>
    <w:p>
      <w:pPr>
        <w:pStyle w:val="4"/>
        <w:ind w:firstLine="643"/>
        <w:rPr>
          <w:rFonts w:ascii="仿宋_GB2312" w:hAnsi="Calibri" w:eastAsia="仿宋_GB2312"/>
          <w:sz w:val="32"/>
          <w:szCs w:val="32"/>
        </w:rPr>
      </w:pPr>
      <w:r>
        <w:rPr>
          <w:rFonts w:hint="eastAsia" w:ascii="仿宋_GB2312" w:eastAsia="仿宋_GB2312"/>
          <w:b/>
          <w:sz w:val="32"/>
          <w:szCs w:val="32"/>
        </w:rPr>
        <w:t>第二十条</w:t>
      </w:r>
      <w:r>
        <w:rPr>
          <w:rFonts w:hint="eastAsia" w:ascii="仿宋_GB2312" w:eastAsia="仿宋_GB2312"/>
          <w:sz w:val="32"/>
          <w:szCs w:val="32"/>
        </w:rPr>
        <w:t xml:space="preserve"> </w:t>
      </w:r>
      <w:r>
        <w:rPr>
          <w:rFonts w:hint="eastAsia" w:ascii="仿宋_GB2312" w:eastAsia="仿宋_GB2312"/>
          <w:sz w:val="32"/>
          <w:szCs w:val="32"/>
          <w:lang w:eastAsia="zh-CN"/>
        </w:rPr>
        <w:t>城市管理和综合执法主管部门</w:t>
      </w:r>
      <w:r>
        <w:rPr>
          <w:rFonts w:hint="eastAsia" w:ascii="仿宋_GB2312" w:eastAsia="仿宋_GB2312"/>
          <w:sz w:val="32"/>
          <w:szCs w:val="32"/>
        </w:rPr>
        <w:t>应按照监管标准和监管工作要求组建监管队伍，配置监管岗位和监管人员，监管人员应具备与生活垃圾处理运营监管工作相适应的专业知识和业务工作经验，并定期接受专业培训。监管力量不足或达不到要求的可聘请第三方专业机构协助监管，计量系统可委托第三方专业机构进行操作。</w:t>
      </w:r>
    </w:p>
    <w:p>
      <w:pPr>
        <w:pStyle w:val="4"/>
        <w:ind w:firstLine="643"/>
        <w:rPr>
          <w:rFonts w:ascii="仿宋_GB2312" w:hAnsi="Calibri" w:eastAsia="仿宋_GB2312"/>
          <w:sz w:val="32"/>
          <w:szCs w:val="32"/>
        </w:rPr>
      </w:pPr>
      <w:r>
        <w:rPr>
          <w:rFonts w:hint="eastAsia" w:ascii="仿宋_GB2312" w:eastAsia="仿宋_GB2312"/>
          <w:b/>
          <w:sz w:val="32"/>
          <w:szCs w:val="32"/>
        </w:rPr>
        <w:t>第二十一条</w:t>
      </w:r>
      <w:r>
        <w:rPr>
          <w:rFonts w:hint="eastAsia" w:ascii="仿宋_GB2312" w:eastAsia="仿宋_GB2312"/>
          <w:sz w:val="32"/>
          <w:szCs w:val="32"/>
        </w:rPr>
        <w:t xml:space="preserve"> </w:t>
      </w:r>
      <w:r>
        <w:rPr>
          <w:rFonts w:hint="eastAsia" w:ascii="仿宋_GB2312" w:eastAsia="仿宋_GB2312"/>
          <w:sz w:val="32"/>
          <w:szCs w:val="32"/>
          <w:lang w:eastAsia="zh-CN"/>
        </w:rPr>
        <w:t>城市管理和综合执法主管部门</w:t>
      </w:r>
      <w:r>
        <w:rPr>
          <w:rFonts w:hint="eastAsia" w:ascii="仿宋_GB2312" w:eastAsia="仿宋_GB2312"/>
          <w:sz w:val="32"/>
          <w:szCs w:val="32"/>
        </w:rPr>
        <w:t>在对处理设施实施运营监管前应制定监管方案，监管方案应针对处理设施的实际情况，明确监管工作目标，确定具体的监管工作范围、工作依据、工作内容、工作制度、组织形式、人员配备计划、岗位职责、工作程序、工作方法和措施等。</w:t>
      </w:r>
    </w:p>
    <w:p>
      <w:pPr>
        <w:pStyle w:val="4"/>
        <w:ind w:firstLine="643"/>
        <w:rPr>
          <w:rFonts w:ascii="仿宋_GB2312" w:hAnsi="Calibri" w:eastAsia="仿宋_GB2312"/>
          <w:sz w:val="32"/>
          <w:szCs w:val="32"/>
        </w:rPr>
      </w:pPr>
      <w:r>
        <w:rPr>
          <w:rFonts w:hint="eastAsia" w:ascii="仿宋_GB2312" w:eastAsia="仿宋_GB2312"/>
          <w:b/>
          <w:sz w:val="32"/>
          <w:szCs w:val="32"/>
        </w:rPr>
        <w:t>第二十二条</w:t>
      </w:r>
      <w:r>
        <w:rPr>
          <w:rFonts w:hint="eastAsia" w:ascii="仿宋_GB2312" w:eastAsia="仿宋_GB2312"/>
          <w:sz w:val="32"/>
          <w:szCs w:val="32"/>
        </w:rPr>
        <w:t xml:space="preserve"> </w:t>
      </w:r>
      <w:r>
        <w:rPr>
          <w:rFonts w:hint="eastAsia" w:ascii="仿宋_GB2312" w:eastAsia="仿宋_GB2312"/>
          <w:sz w:val="32"/>
          <w:szCs w:val="32"/>
          <w:lang w:eastAsia="zh-CN"/>
        </w:rPr>
        <w:t>城市管理和综合执法主管部门</w:t>
      </w:r>
      <w:r>
        <w:rPr>
          <w:rFonts w:hint="eastAsia" w:ascii="仿宋_GB2312" w:eastAsia="仿宋_GB2312"/>
          <w:sz w:val="32"/>
          <w:szCs w:val="32"/>
        </w:rPr>
        <w:t>应对每个处理设施明确监管要求，根据各处理设施具体情况按照监管评分表模板（见附表)制定监管评分表。</w:t>
      </w:r>
      <w:r>
        <w:rPr>
          <w:rFonts w:hint="eastAsia" w:ascii="仿宋_GB2312" w:eastAsia="仿宋_GB2312"/>
          <w:sz w:val="32"/>
          <w:szCs w:val="32"/>
          <w:lang w:eastAsia="zh-CN"/>
        </w:rPr>
        <w:t>城市管理和综合执法主管部门</w:t>
      </w:r>
      <w:r>
        <w:rPr>
          <w:rFonts w:hint="eastAsia" w:ascii="仿宋_GB2312" w:eastAsia="仿宋_GB2312"/>
          <w:sz w:val="32"/>
          <w:szCs w:val="32"/>
        </w:rPr>
        <w:t>每月根据监管评分表进行检查评分，</w:t>
      </w:r>
      <w:r>
        <w:rPr>
          <w:rFonts w:hint="eastAsia" w:ascii="仿宋_GB2312" w:eastAsia="仿宋_GB2312"/>
          <w:sz w:val="32"/>
          <w:szCs w:val="32"/>
          <w:u w:val="none"/>
          <w:lang w:eastAsia="zh-CN"/>
        </w:rPr>
        <w:t>评分结果按照合同约定执行</w:t>
      </w:r>
      <w:r>
        <w:rPr>
          <w:rFonts w:hint="eastAsia" w:ascii="仿宋_GB2312" w:eastAsia="仿宋_GB2312"/>
          <w:sz w:val="32"/>
          <w:szCs w:val="32"/>
        </w:rPr>
        <w:t>。涉及污染物排放超标、重大安全生产隐患和督办整改不落实等内容的，可加大扣分力度。</w:t>
      </w:r>
    </w:p>
    <w:p>
      <w:pPr>
        <w:pStyle w:val="4"/>
        <w:ind w:firstLine="643"/>
        <w:rPr>
          <w:rFonts w:ascii="仿宋_GB2312" w:hAnsi="Calibri" w:eastAsia="仿宋_GB2312"/>
          <w:sz w:val="32"/>
          <w:szCs w:val="32"/>
        </w:rPr>
      </w:pPr>
      <w:r>
        <w:rPr>
          <w:rFonts w:hint="eastAsia" w:ascii="仿宋_GB2312" w:eastAsia="仿宋_GB2312"/>
          <w:b/>
          <w:sz w:val="32"/>
          <w:szCs w:val="32"/>
        </w:rPr>
        <w:t>第二十三条</w:t>
      </w:r>
      <w:r>
        <w:rPr>
          <w:rFonts w:hint="eastAsia" w:ascii="仿宋_GB2312" w:eastAsia="仿宋_GB2312"/>
          <w:sz w:val="32"/>
          <w:szCs w:val="32"/>
        </w:rPr>
        <w:t xml:space="preserve"> </w:t>
      </w:r>
      <w:r>
        <w:rPr>
          <w:rFonts w:hint="eastAsia" w:ascii="仿宋_GB2312" w:eastAsia="仿宋_GB2312"/>
          <w:sz w:val="32"/>
          <w:szCs w:val="32"/>
          <w:lang w:eastAsia="zh-CN"/>
        </w:rPr>
        <w:t>城市管理和综合执法主管部门</w:t>
      </w:r>
      <w:r>
        <w:rPr>
          <w:rFonts w:hint="eastAsia" w:ascii="仿宋_GB2312" w:eastAsia="仿宋_GB2312"/>
          <w:sz w:val="32"/>
          <w:szCs w:val="32"/>
        </w:rPr>
        <w:t>应当根据国家、省、市相关法律法规、标准规范、项目环境影响报告书审批的要求、以及垃圾处理服务合同和本办法开展监管工作。技术标准规范主要包括：处理设施运行监管标准、污染控制标准、污染物排放标准、工程建设标准、工程技术规范、运行维护技术规程等。</w:t>
      </w:r>
    </w:p>
    <w:p>
      <w:pPr>
        <w:pStyle w:val="4"/>
        <w:ind w:firstLine="643"/>
        <w:rPr>
          <w:rFonts w:ascii="仿宋_GB2312" w:hAnsi="Calibri" w:eastAsia="仿宋_GB2312"/>
          <w:sz w:val="32"/>
          <w:szCs w:val="32"/>
        </w:rPr>
      </w:pPr>
      <w:r>
        <w:rPr>
          <w:rFonts w:hint="eastAsia" w:ascii="仿宋_GB2312" w:eastAsia="仿宋_GB2312"/>
          <w:b/>
          <w:sz w:val="32"/>
          <w:szCs w:val="32"/>
        </w:rPr>
        <w:t>第二十四条</w:t>
      </w:r>
      <w:r>
        <w:rPr>
          <w:rFonts w:hint="eastAsia" w:ascii="仿宋_GB2312" w:eastAsia="仿宋_GB2312"/>
          <w:sz w:val="32"/>
          <w:szCs w:val="32"/>
        </w:rPr>
        <w:t xml:space="preserve"> </w:t>
      </w:r>
      <w:r>
        <w:rPr>
          <w:rFonts w:hint="eastAsia" w:ascii="仿宋_GB2312" w:eastAsia="仿宋_GB2312"/>
          <w:sz w:val="32"/>
          <w:szCs w:val="32"/>
          <w:lang w:eastAsia="zh-CN"/>
        </w:rPr>
        <w:t>城市管理和综合执法主管部门</w:t>
      </w:r>
      <w:r>
        <w:rPr>
          <w:rFonts w:hint="eastAsia" w:ascii="仿宋_GB2312" w:eastAsia="仿宋_GB2312"/>
          <w:sz w:val="32"/>
          <w:szCs w:val="32"/>
        </w:rPr>
        <w:t>对处理设施的运营监管主要包括以下内容：</w:t>
      </w:r>
    </w:p>
    <w:p>
      <w:pPr>
        <w:pStyle w:val="4"/>
        <w:ind w:firstLine="640"/>
        <w:rPr>
          <w:rFonts w:ascii="仿宋_GB2312" w:hAnsi="Calibri" w:eastAsia="仿宋_GB2312"/>
          <w:sz w:val="32"/>
          <w:szCs w:val="32"/>
        </w:rPr>
      </w:pPr>
      <w:r>
        <w:rPr>
          <w:rFonts w:hint="eastAsia" w:ascii="仿宋_GB2312" w:eastAsia="仿宋_GB2312"/>
          <w:sz w:val="32"/>
          <w:szCs w:val="32"/>
        </w:rPr>
        <w:t>（一）运行维护。包括核查运营单位对计量设备的维修和校验，根据需要委托有资质的第三方机构对计量系统进行检查、校准，核实计量工具和运营数据的准确性；定期和不定期现场检查运营作业和设施设备运行情况，督促运营单位按标准规范接收和处理生活垃圾。</w:t>
      </w:r>
    </w:p>
    <w:p>
      <w:pPr>
        <w:pStyle w:val="4"/>
        <w:ind w:firstLine="640"/>
        <w:rPr>
          <w:rFonts w:ascii="仿宋_GB2312" w:hAnsi="Calibri" w:eastAsia="仿宋_GB2312"/>
          <w:sz w:val="32"/>
          <w:szCs w:val="32"/>
        </w:rPr>
      </w:pPr>
      <w:r>
        <w:rPr>
          <w:rFonts w:hint="eastAsia" w:ascii="仿宋_GB2312" w:eastAsia="仿宋_GB2312"/>
          <w:sz w:val="32"/>
          <w:szCs w:val="32"/>
        </w:rPr>
        <w:t>（二）安全生产。包括检查运营单位落实安全生产主体责任工作情况、安全制度建立和安全生产台账管理情况、安全生产执行情况、对突发事件的应对措施和应对能力，指导督促开展安全隐患排查整治工作，完善应急措施等。</w:t>
      </w:r>
    </w:p>
    <w:p>
      <w:pPr>
        <w:pStyle w:val="4"/>
        <w:ind w:firstLine="640"/>
        <w:rPr>
          <w:rFonts w:ascii="仿宋_GB2312" w:hAnsi="Calibri" w:eastAsia="仿宋_GB2312"/>
          <w:sz w:val="32"/>
          <w:szCs w:val="32"/>
        </w:rPr>
      </w:pPr>
      <w:r>
        <w:rPr>
          <w:rFonts w:hint="eastAsia" w:ascii="仿宋_GB2312" w:eastAsia="仿宋_GB2312"/>
          <w:sz w:val="32"/>
          <w:szCs w:val="32"/>
        </w:rPr>
        <w:t>（三）环保措施。包括检查环保措施落实情况和实施效果，督导运营单位制订、落实环境监测计划，检查在线监测系统和远程监控系统使用和管理情况，核查环保物料投加情况，检查二次污染物治理设施的配置和使用情况等。</w:t>
      </w:r>
    </w:p>
    <w:p>
      <w:pPr>
        <w:pStyle w:val="4"/>
        <w:ind w:firstLine="640"/>
        <w:rPr>
          <w:rFonts w:ascii="仿宋_GB2312" w:hAnsi="Calibri" w:eastAsia="仿宋_GB2312"/>
          <w:sz w:val="32"/>
          <w:szCs w:val="32"/>
        </w:rPr>
      </w:pPr>
      <w:r>
        <w:rPr>
          <w:rFonts w:hint="eastAsia" w:ascii="仿宋_GB2312" w:eastAsia="仿宋_GB2312"/>
          <w:sz w:val="32"/>
          <w:szCs w:val="32"/>
        </w:rPr>
        <w:t>（四）应急措施。包括检查应急预案制度的建立、应急知识的宣传、应急物资的储备、应急预案的演练、应急公关措施等。</w:t>
      </w:r>
    </w:p>
    <w:p>
      <w:pPr>
        <w:pStyle w:val="4"/>
        <w:ind w:firstLine="640"/>
        <w:rPr>
          <w:rFonts w:ascii="仿宋_GB2312" w:hAnsi="Calibri" w:eastAsia="仿宋_GB2312"/>
          <w:sz w:val="32"/>
          <w:szCs w:val="32"/>
        </w:rPr>
      </w:pPr>
      <w:r>
        <w:rPr>
          <w:rFonts w:hint="eastAsia" w:ascii="仿宋_GB2312" w:eastAsia="仿宋_GB2312"/>
          <w:sz w:val="32"/>
          <w:szCs w:val="32"/>
        </w:rPr>
        <w:t>（五）日常管理。包括检查运营单位规章制度建设情况，检查运营单位厂（场）内环境卫生，要求运营单位提交运营报告和数据，督促运营单位进行信息公开和接受公众监督，发现问题督导运营单位进行整改等。</w:t>
      </w:r>
    </w:p>
    <w:p>
      <w:pPr>
        <w:pStyle w:val="4"/>
        <w:ind w:firstLine="640"/>
        <w:rPr>
          <w:rFonts w:ascii="仿宋_GB2312" w:hAnsi="Calibri" w:eastAsia="仿宋_GB2312"/>
          <w:sz w:val="32"/>
          <w:szCs w:val="32"/>
        </w:rPr>
      </w:pPr>
      <w:r>
        <w:rPr>
          <w:rFonts w:hint="eastAsia" w:ascii="仿宋_GB2312" w:eastAsia="仿宋_GB2312"/>
          <w:sz w:val="32"/>
          <w:szCs w:val="32"/>
        </w:rPr>
        <w:t>（六）其他依法应当监管的内容。</w:t>
      </w:r>
    </w:p>
    <w:p>
      <w:pPr>
        <w:pStyle w:val="4"/>
        <w:ind w:firstLine="643"/>
        <w:rPr>
          <w:rFonts w:ascii="仿宋_GB2312" w:hAnsi="Calibri" w:eastAsia="仿宋_GB2312"/>
          <w:sz w:val="32"/>
          <w:szCs w:val="32"/>
        </w:rPr>
      </w:pPr>
      <w:r>
        <w:rPr>
          <w:rFonts w:hint="eastAsia" w:ascii="仿宋_GB2312" w:eastAsia="仿宋_GB2312"/>
          <w:b/>
          <w:sz w:val="32"/>
          <w:szCs w:val="32"/>
        </w:rPr>
        <w:t>第二十五条</w:t>
      </w:r>
      <w:r>
        <w:rPr>
          <w:rFonts w:hint="eastAsia" w:ascii="仿宋_GB2312" w:eastAsia="仿宋_GB2312"/>
          <w:sz w:val="32"/>
          <w:szCs w:val="32"/>
        </w:rPr>
        <w:t xml:space="preserve"> 对处理设施的运营监管应采取以下方式：</w:t>
      </w:r>
    </w:p>
    <w:p>
      <w:pPr>
        <w:pStyle w:val="4"/>
        <w:ind w:firstLine="640"/>
        <w:rPr>
          <w:rFonts w:ascii="仿宋_GB2312" w:hAnsi="Calibri" w:eastAsia="仿宋_GB2312"/>
          <w:sz w:val="32"/>
          <w:szCs w:val="32"/>
        </w:rPr>
      </w:pPr>
      <w:r>
        <w:rPr>
          <w:rFonts w:hint="eastAsia" w:ascii="仿宋_GB2312" w:eastAsia="仿宋_GB2312"/>
          <w:sz w:val="32"/>
          <w:szCs w:val="32"/>
        </w:rPr>
        <w:t>（一）现场检查。采取驻场检查或巡查方式开展现场检查，现场检查可采取定期检查和不定期抽查，针对具体情况组织开展专项检查等。</w:t>
      </w:r>
    </w:p>
    <w:p>
      <w:pPr>
        <w:pStyle w:val="4"/>
        <w:ind w:firstLine="640"/>
        <w:rPr>
          <w:rFonts w:ascii="仿宋_GB2312" w:hAnsi="Calibri" w:eastAsia="仿宋_GB2312"/>
          <w:sz w:val="32"/>
          <w:szCs w:val="32"/>
        </w:rPr>
      </w:pPr>
      <w:r>
        <w:rPr>
          <w:rFonts w:hint="eastAsia" w:ascii="仿宋_GB2312" w:eastAsia="仿宋_GB2312"/>
          <w:sz w:val="32"/>
          <w:szCs w:val="32"/>
        </w:rPr>
        <w:t>（二）资料核查。定期和不定期核查运营制度和台账，台账包括运营记录、各项监测数据、各项报表等。</w:t>
      </w:r>
    </w:p>
    <w:p>
      <w:pPr>
        <w:pStyle w:val="4"/>
        <w:ind w:firstLine="640"/>
        <w:rPr>
          <w:rFonts w:ascii="仿宋_GB2312" w:hAnsi="Calibri" w:eastAsia="仿宋_GB2312"/>
          <w:sz w:val="32"/>
          <w:szCs w:val="32"/>
        </w:rPr>
      </w:pPr>
      <w:r>
        <w:rPr>
          <w:rFonts w:hint="eastAsia" w:ascii="仿宋_GB2312" w:eastAsia="仿宋_GB2312"/>
          <w:sz w:val="32"/>
          <w:szCs w:val="32"/>
        </w:rPr>
        <w:t>（三）远程监控。建立远程监控系统，实时在线监控处理设施计量、生产运行和环保排放，对远程监控系统的建设、运行和维护进行监督检查。</w:t>
      </w:r>
    </w:p>
    <w:p>
      <w:pPr>
        <w:pStyle w:val="4"/>
        <w:ind w:firstLine="640"/>
        <w:rPr>
          <w:rFonts w:ascii="仿宋_GB2312" w:hAnsi="Calibri" w:eastAsia="仿宋_GB2312"/>
          <w:sz w:val="32"/>
          <w:szCs w:val="32"/>
        </w:rPr>
      </w:pPr>
      <w:r>
        <w:rPr>
          <w:rFonts w:hint="eastAsia" w:ascii="仿宋_GB2312" w:eastAsia="仿宋_GB2312"/>
          <w:sz w:val="32"/>
          <w:szCs w:val="32"/>
        </w:rPr>
        <w:t>（四）辅助检测。根据需要可对运营生产的各个环节进行检测，检测结果作为判定运营措施是否有效的依据。</w:t>
      </w:r>
    </w:p>
    <w:p>
      <w:pPr>
        <w:pStyle w:val="4"/>
        <w:ind w:firstLine="640"/>
        <w:rPr>
          <w:rFonts w:ascii="仿宋_GB2312" w:hAnsi="Calibri" w:eastAsia="仿宋_GB2312"/>
          <w:sz w:val="32"/>
          <w:szCs w:val="32"/>
        </w:rPr>
      </w:pPr>
      <w:r>
        <w:rPr>
          <w:rFonts w:hint="eastAsia" w:ascii="仿宋_GB2312" w:eastAsia="仿宋_GB2312"/>
          <w:sz w:val="32"/>
          <w:szCs w:val="32"/>
        </w:rPr>
        <w:t>（五）督促整改。对检查中违反国家、省、市有关法律法规、政策、标准、规范、本办法要求及合同约定的，向运营单位发放监管联系单要求整改，监管联系单包括指出违法违规行为、限定整改期限、提出整改要求等。</w:t>
      </w:r>
    </w:p>
    <w:p>
      <w:pPr>
        <w:pStyle w:val="4"/>
        <w:ind w:firstLine="640"/>
        <w:rPr>
          <w:rFonts w:ascii="仿宋_GB2312" w:hAnsi="Calibri" w:eastAsia="仿宋_GB2312"/>
          <w:sz w:val="32"/>
          <w:szCs w:val="32"/>
        </w:rPr>
      </w:pPr>
      <w:r>
        <w:rPr>
          <w:rFonts w:hint="eastAsia" w:ascii="仿宋_GB2312" w:eastAsia="仿宋_GB2312"/>
          <w:sz w:val="32"/>
          <w:szCs w:val="32"/>
        </w:rPr>
        <w:t>（六）第三方监管。监管力量不足或达不到要求的可聘请第三方专业机构协助监管。</w:t>
      </w:r>
    </w:p>
    <w:p>
      <w:pPr>
        <w:pStyle w:val="4"/>
        <w:ind w:firstLine="640"/>
        <w:rPr>
          <w:rFonts w:ascii="仿宋_GB2312" w:hAnsi="Calibri" w:eastAsia="仿宋_GB2312"/>
          <w:sz w:val="32"/>
          <w:szCs w:val="32"/>
        </w:rPr>
      </w:pPr>
      <w:r>
        <w:rPr>
          <w:rFonts w:hint="eastAsia" w:ascii="仿宋_GB2312" w:eastAsia="仿宋_GB2312"/>
          <w:sz w:val="32"/>
          <w:szCs w:val="32"/>
        </w:rPr>
        <w:t>根据需要可适时引入处理设施周边村民代表、公众代表监督机制，参与处理设施日常监督管理工作。</w:t>
      </w:r>
    </w:p>
    <w:p>
      <w:pPr>
        <w:pStyle w:val="4"/>
        <w:ind w:firstLine="643"/>
        <w:rPr>
          <w:rFonts w:ascii="仿宋_GB2312" w:hAnsi="Calibri" w:eastAsia="仿宋_GB2312"/>
          <w:sz w:val="32"/>
          <w:szCs w:val="32"/>
        </w:rPr>
      </w:pPr>
      <w:r>
        <w:rPr>
          <w:rFonts w:hint="eastAsia" w:ascii="仿宋_GB2312" w:eastAsia="仿宋_GB2312"/>
          <w:b/>
          <w:sz w:val="32"/>
          <w:szCs w:val="32"/>
        </w:rPr>
        <w:t>第二十六条</w:t>
      </w:r>
      <w:r>
        <w:rPr>
          <w:rFonts w:hint="eastAsia" w:ascii="仿宋_GB2312" w:eastAsia="仿宋_GB2312"/>
          <w:sz w:val="32"/>
          <w:szCs w:val="32"/>
        </w:rPr>
        <w:t xml:space="preserve"> </w:t>
      </w:r>
      <w:r>
        <w:rPr>
          <w:rFonts w:hint="eastAsia" w:ascii="仿宋_GB2312" w:eastAsia="仿宋_GB2312"/>
          <w:sz w:val="32"/>
          <w:szCs w:val="32"/>
          <w:lang w:eastAsia="zh-CN"/>
        </w:rPr>
        <w:t>城市管理和综合执法主管部门</w:t>
      </w:r>
      <w:r>
        <w:rPr>
          <w:rFonts w:hint="eastAsia" w:ascii="仿宋_GB2312" w:eastAsia="仿宋_GB2312"/>
          <w:sz w:val="32"/>
          <w:szCs w:val="32"/>
        </w:rPr>
        <w:t>应建立监管工作台账管理制度，指定专人做好监管台账管理工作，做好现场检查、监管评分、隐患排查整治、监管联系单发放等监管记录，并做好各类工作资料和报表的归档管理工作。</w:t>
      </w:r>
      <w:r>
        <w:rPr>
          <w:rFonts w:hint="eastAsia" w:ascii="仿宋_GB2312" w:eastAsia="仿宋_GB2312"/>
          <w:sz w:val="32"/>
          <w:szCs w:val="32"/>
          <w:lang w:eastAsia="zh-CN"/>
        </w:rPr>
        <w:t>城市管理和综合执法主管部门</w:t>
      </w:r>
      <w:r>
        <w:rPr>
          <w:rFonts w:hint="eastAsia" w:ascii="仿宋_GB2312" w:eastAsia="仿宋_GB2312"/>
          <w:sz w:val="32"/>
          <w:szCs w:val="32"/>
        </w:rPr>
        <w:t>每月应汇总监管工作记录及特殊、重大处罚报告，每年应梳理全年工作情况向上级主管部门汇报。</w:t>
      </w:r>
    </w:p>
    <w:p>
      <w:pPr>
        <w:pStyle w:val="4"/>
        <w:ind w:firstLine="643"/>
        <w:rPr>
          <w:rFonts w:ascii="仿宋_GB2312" w:eastAsia="仿宋_GB2312"/>
          <w:sz w:val="32"/>
          <w:szCs w:val="32"/>
        </w:rPr>
      </w:pPr>
      <w:r>
        <w:rPr>
          <w:rFonts w:hint="eastAsia" w:ascii="仿宋_GB2312" w:eastAsia="仿宋_GB2312"/>
          <w:b/>
          <w:sz w:val="32"/>
          <w:szCs w:val="32"/>
        </w:rPr>
        <w:t>第二十七条</w:t>
      </w:r>
      <w:r>
        <w:rPr>
          <w:rFonts w:hint="eastAsia" w:ascii="仿宋_GB2312" w:eastAsia="仿宋_GB2312"/>
          <w:sz w:val="32"/>
          <w:szCs w:val="32"/>
        </w:rPr>
        <w:t xml:space="preserve"> 各相关部门接到运营单位的应急报告后，应根据各自管理职责和相关权限立即启动应急响应，按突发事件信息报告有关规定及时、准确报告突发事件信息。</w:t>
      </w:r>
    </w:p>
    <w:p>
      <w:pPr>
        <w:pStyle w:val="3"/>
        <w:rPr>
          <w:sz w:val="32"/>
          <w:szCs w:val="32"/>
        </w:rPr>
      </w:pPr>
      <w:r>
        <w:rPr>
          <w:rFonts w:hint="eastAsia"/>
          <w:sz w:val="32"/>
          <w:szCs w:val="32"/>
        </w:rPr>
        <w:t>第四章检查评价</w:t>
      </w:r>
    </w:p>
    <w:p>
      <w:pPr>
        <w:pStyle w:val="4"/>
        <w:ind w:firstLine="643"/>
        <w:rPr>
          <w:rFonts w:ascii="仿宋_GB2312" w:eastAsia="仿宋_GB2312"/>
          <w:sz w:val="32"/>
          <w:szCs w:val="32"/>
        </w:rPr>
      </w:pPr>
      <w:r>
        <w:rPr>
          <w:rFonts w:hint="eastAsia" w:ascii="仿宋_GB2312" w:eastAsia="仿宋_GB2312"/>
          <w:b/>
          <w:sz w:val="32"/>
          <w:szCs w:val="32"/>
        </w:rPr>
        <w:t>第二十八条</w:t>
      </w:r>
      <w:r>
        <w:rPr>
          <w:rFonts w:hint="eastAsia" w:ascii="仿宋_GB2312" w:eastAsia="仿宋_GB2312"/>
          <w:sz w:val="32"/>
          <w:szCs w:val="32"/>
        </w:rPr>
        <w:t xml:space="preserve"> 市</w:t>
      </w:r>
      <w:r>
        <w:rPr>
          <w:rFonts w:hint="eastAsia" w:ascii="仿宋_GB2312" w:eastAsia="仿宋_GB2312"/>
          <w:sz w:val="32"/>
          <w:szCs w:val="32"/>
          <w:lang w:eastAsia="zh-CN"/>
        </w:rPr>
        <w:t>城市管理和综合执法主管部门</w:t>
      </w:r>
      <w:r>
        <w:rPr>
          <w:rFonts w:hint="eastAsia" w:ascii="仿宋_GB2312" w:eastAsia="仿宋_GB2312"/>
          <w:sz w:val="32"/>
          <w:szCs w:val="32"/>
        </w:rPr>
        <w:t>可委托第三方监管单位对全市处理设施的运营和监管情况进行评价，形成全市处理设施运营监管年度评价报告，评价内容包括：制度台账、监督管理、作业规范、污染控制、安全生产、公众监督等。各运营单位应按照市</w:t>
      </w:r>
      <w:r>
        <w:rPr>
          <w:rFonts w:hint="eastAsia" w:ascii="仿宋_GB2312" w:eastAsia="仿宋_GB2312"/>
          <w:sz w:val="32"/>
          <w:szCs w:val="32"/>
          <w:lang w:eastAsia="zh-CN"/>
        </w:rPr>
        <w:t>城市管理和综合执法主管部门</w:t>
      </w:r>
      <w:r>
        <w:rPr>
          <w:rFonts w:hint="eastAsia" w:ascii="仿宋_GB2312" w:eastAsia="仿宋_GB2312"/>
          <w:sz w:val="32"/>
          <w:szCs w:val="32"/>
        </w:rPr>
        <w:t>要求提交运营情况、监管情况、合同执行情况、监管办法执行情况等相关资料。</w:t>
      </w:r>
    </w:p>
    <w:p>
      <w:pPr>
        <w:pStyle w:val="4"/>
        <w:ind w:firstLine="643"/>
        <w:rPr>
          <w:rFonts w:ascii="仿宋_GB2312" w:eastAsia="仿宋_GB2312"/>
          <w:sz w:val="32"/>
          <w:szCs w:val="32"/>
        </w:rPr>
      </w:pPr>
      <w:r>
        <w:rPr>
          <w:rFonts w:hint="eastAsia" w:ascii="仿宋_GB2312" w:eastAsia="仿宋_GB2312"/>
          <w:b/>
          <w:sz w:val="32"/>
          <w:szCs w:val="32"/>
        </w:rPr>
        <w:t>第二十九条</w:t>
      </w:r>
      <w:r>
        <w:rPr>
          <w:rFonts w:hint="eastAsia" w:ascii="仿宋_GB2312" w:eastAsia="仿宋_GB2312"/>
          <w:sz w:val="32"/>
          <w:szCs w:val="32"/>
        </w:rPr>
        <w:t xml:space="preserve"> 年度评价结果通报各运营单位。对生活垃圾处理运营管理工作成绩突出的单位给予通报表扬；对管理未达到要求、发现问题较多的单位予以通报批评；对未通过考核评价的生活垃圾处理设施运营单位，责成限期整改直至责任追究。</w:t>
      </w:r>
    </w:p>
    <w:p>
      <w:pPr>
        <w:pStyle w:val="3"/>
        <w:rPr>
          <w:sz w:val="32"/>
          <w:szCs w:val="32"/>
        </w:rPr>
      </w:pPr>
      <w:r>
        <w:rPr>
          <w:rFonts w:hint="eastAsia"/>
          <w:sz w:val="32"/>
          <w:szCs w:val="32"/>
        </w:rPr>
        <w:t>第五章</w:t>
      </w:r>
      <w:r>
        <w:rPr>
          <w:sz w:val="32"/>
          <w:szCs w:val="32"/>
        </w:rPr>
        <w:t xml:space="preserve">  附则</w:t>
      </w:r>
    </w:p>
    <w:p>
      <w:pPr>
        <w:pStyle w:val="4"/>
        <w:ind w:firstLine="643"/>
        <w:rPr>
          <w:rFonts w:ascii="仿宋_GB2312" w:hAnsi="Calibri" w:eastAsia="仿宋_GB2312"/>
          <w:sz w:val="32"/>
          <w:szCs w:val="32"/>
        </w:rPr>
      </w:pPr>
      <w:r>
        <w:rPr>
          <w:rFonts w:hint="eastAsia" w:ascii="仿宋_GB2312" w:hAnsi="Calibri" w:eastAsia="仿宋_GB2312"/>
          <w:b/>
          <w:sz w:val="32"/>
          <w:szCs w:val="32"/>
        </w:rPr>
        <w:t>第三十条</w:t>
      </w:r>
      <w:r>
        <w:rPr>
          <w:rFonts w:hint="eastAsia" w:ascii="仿宋_GB2312" w:hAnsi="Calibri" w:eastAsia="仿宋_GB2312"/>
          <w:sz w:val="32"/>
          <w:szCs w:val="32"/>
        </w:rPr>
        <w:t xml:space="preserve"> 本办法自印发之日起施行，有效期5年。</w:t>
      </w: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shd w:val="clear" w:color="auto" w:fill="auto"/>
        <w:spacing w:line="240" w:lineRule="auto"/>
        <w:ind w:left="0" w:right="0" w:firstLine="0" w:firstLineChars="0"/>
        <w:jc w:val="left"/>
        <w:rPr>
          <w:rFonts w:ascii="Calibri" w:hAnsi="Calibri"/>
        </w:rPr>
      </w:pPr>
    </w:p>
    <w:p>
      <w:pPr>
        <w:ind w:left="0" w:firstLine="0" w:firstLineChars="0"/>
      </w:pPr>
    </w:p>
    <w:p>
      <w:pPr>
        <w:pStyle w:val="3"/>
      </w:pPr>
      <w:r>
        <w:rPr>
          <w:rFonts w:hint="eastAsia"/>
        </w:rPr>
        <w:t>全市生活垃圾终端处理设施运营监管评分表</w:t>
      </w:r>
    </w:p>
    <w:p>
      <w:pPr>
        <w:pStyle w:val="5"/>
        <w:ind w:firstLine="482"/>
        <w:jc w:val="center"/>
        <w:rPr>
          <w:rFonts w:ascii="Calibri" w:hAnsi="Calibri"/>
          <w:color w:val="auto"/>
          <w:sz w:val="24"/>
          <w:szCs w:val="24"/>
        </w:rPr>
      </w:pPr>
      <w:r>
        <w:rPr>
          <w:rFonts w:hint="eastAsia"/>
          <w:sz w:val="24"/>
          <w:szCs w:val="24"/>
        </w:rPr>
        <w:t>表1：中山市生活垃圾焚烧厂运营监管评分表</w:t>
      </w:r>
    </w:p>
    <w:tbl>
      <w:tblPr>
        <w:tblStyle w:val="11"/>
        <w:tblW w:w="827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326"/>
        <w:gridCol w:w="1339"/>
        <w:gridCol w:w="428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6" w:type="dxa"/>
            <w:vAlign w:val="center"/>
          </w:tcPr>
          <w:p>
            <w:pPr>
              <w:ind w:firstLine="0" w:firstLineChars="0"/>
              <w:jc w:val="center"/>
              <w:rPr>
                <w:b/>
                <w:szCs w:val="28"/>
              </w:rPr>
            </w:pPr>
            <w:r>
              <w:rPr>
                <w:rFonts w:hint="eastAsia"/>
                <w:b/>
                <w:szCs w:val="28"/>
              </w:rPr>
              <w:t>项目</w:t>
            </w:r>
          </w:p>
        </w:tc>
        <w:tc>
          <w:tcPr>
            <w:tcW w:w="1326" w:type="dxa"/>
            <w:vAlign w:val="center"/>
          </w:tcPr>
          <w:p>
            <w:pPr>
              <w:ind w:firstLine="0" w:firstLineChars="0"/>
              <w:jc w:val="center"/>
              <w:rPr>
                <w:b/>
                <w:szCs w:val="28"/>
              </w:rPr>
            </w:pPr>
            <w:r>
              <w:rPr>
                <w:rFonts w:hint="eastAsia"/>
                <w:b/>
                <w:szCs w:val="28"/>
              </w:rPr>
              <w:t>类别</w:t>
            </w:r>
          </w:p>
        </w:tc>
        <w:tc>
          <w:tcPr>
            <w:tcW w:w="1339" w:type="dxa"/>
            <w:vAlign w:val="center"/>
          </w:tcPr>
          <w:p>
            <w:pPr>
              <w:ind w:firstLine="0" w:firstLineChars="0"/>
              <w:jc w:val="center"/>
              <w:rPr>
                <w:b/>
                <w:szCs w:val="28"/>
              </w:rPr>
            </w:pPr>
            <w:r>
              <w:rPr>
                <w:b/>
                <w:szCs w:val="28"/>
              </w:rPr>
              <w:t>考评内容</w:t>
            </w:r>
          </w:p>
        </w:tc>
        <w:tc>
          <w:tcPr>
            <w:tcW w:w="4285" w:type="dxa"/>
            <w:vAlign w:val="center"/>
          </w:tcPr>
          <w:p>
            <w:pPr>
              <w:ind w:firstLine="0" w:firstLineChars="0"/>
              <w:jc w:val="center"/>
              <w:rPr>
                <w:b/>
                <w:szCs w:val="28"/>
              </w:rPr>
            </w:pPr>
            <w:r>
              <w:rPr>
                <w:b/>
                <w:szCs w:val="28"/>
              </w:rPr>
              <w:t>扣分标准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vAlign w:val="center"/>
          </w:tcPr>
          <w:p>
            <w:pPr>
              <w:ind w:firstLine="0" w:firstLineChars="0"/>
              <w:jc w:val="center"/>
              <w:rPr>
                <w:b/>
                <w:szCs w:val="28"/>
              </w:rPr>
            </w:pPr>
            <w:r>
              <w:rPr>
                <w:rFonts w:hint="eastAsia"/>
                <w:b/>
                <w:szCs w:val="28"/>
              </w:rPr>
              <w:t>一、运营维护</w:t>
            </w:r>
          </w:p>
        </w:tc>
        <w:tc>
          <w:tcPr>
            <w:tcW w:w="1326" w:type="dxa"/>
            <w:vAlign w:val="center"/>
          </w:tcPr>
          <w:p>
            <w:pPr>
              <w:ind w:firstLine="0" w:firstLineChars="0"/>
              <w:jc w:val="center"/>
              <w:rPr>
                <w:szCs w:val="28"/>
              </w:rPr>
            </w:pPr>
            <w:r>
              <w:rPr>
                <w:rFonts w:hint="eastAsia"/>
                <w:szCs w:val="28"/>
              </w:rPr>
              <w:t>（一）</w:t>
            </w:r>
          </w:p>
          <w:p>
            <w:pPr>
              <w:ind w:firstLine="0" w:firstLineChars="0"/>
              <w:jc w:val="center"/>
              <w:rPr>
                <w:szCs w:val="28"/>
              </w:rPr>
            </w:pPr>
            <w:r>
              <w:rPr>
                <w:szCs w:val="28"/>
              </w:rPr>
              <w:t>进厂垃圾管理</w:t>
            </w:r>
          </w:p>
          <w:p>
            <w:pPr>
              <w:ind w:firstLine="0" w:firstLineChars="0"/>
              <w:jc w:val="center"/>
              <w:rPr>
                <w:szCs w:val="28"/>
              </w:rPr>
            </w:pPr>
            <w:r>
              <w:rPr>
                <w:rFonts w:hint="eastAsia"/>
                <w:szCs w:val="28"/>
              </w:rPr>
              <w:t>（</w:t>
            </w:r>
            <w:r>
              <w:rPr>
                <w:szCs w:val="28"/>
              </w:rPr>
              <w:t>4</w:t>
            </w:r>
            <w:r>
              <w:rPr>
                <w:rFonts w:hint="eastAsia"/>
                <w:szCs w:val="28"/>
              </w:rPr>
              <w:t>分）</w:t>
            </w:r>
          </w:p>
        </w:tc>
        <w:tc>
          <w:tcPr>
            <w:tcW w:w="1339" w:type="dxa"/>
            <w:vAlign w:val="center"/>
          </w:tcPr>
          <w:p>
            <w:pPr>
              <w:ind w:firstLine="0" w:firstLineChars="0"/>
              <w:jc w:val="center"/>
              <w:rPr>
                <w:szCs w:val="28"/>
              </w:rPr>
            </w:pPr>
            <w:r>
              <w:rPr>
                <w:szCs w:val="28"/>
              </w:rPr>
              <w:t>进厂垃圾控制</w:t>
            </w:r>
          </w:p>
          <w:p>
            <w:pPr>
              <w:ind w:firstLine="0" w:firstLineChars="0"/>
              <w:jc w:val="center"/>
              <w:rPr>
                <w:szCs w:val="28"/>
              </w:rPr>
            </w:pPr>
            <w:r>
              <w:rPr>
                <w:rFonts w:hint="eastAsia"/>
                <w:szCs w:val="28"/>
              </w:rPr>
              <w:t>（</w:t>
            </w:r>
            <w:r>
              <w:rPr>
                <w:szCs w:val="28"/>
              </w:rPr>
              <w:t>4</w:t>
            </w:r>
            <w:r>
              <w:rPr>
                <w:rFonts w:hint="eastAsia"/>
                <w:szCs w:val="28"/>
              </w:rPr>
              <w:t>分）</w:t>
            </w:r>
          </w:p>
        </w:tc>
        <w:tc>
          <w:tcPr>
            <w:tcW w:w="4285" w:type="dxa"/>
            <w:vAlign w:val="center"/>
          </w:tcPr>
          <w:p>
            <w:pPr>
              <w:ind w:firstLine="0" w:firstLineChars="0"/>
              <w:jc w:val="left"/>
              <w:rPr>
                <w:szCs w:val="28"/>
              </w:rPr>
            </w:pPr>
            <w:r>
              <w:rPr>
                <w:szCs w:val="28"/>
              </w:rPr>
              <w:t>擅自让不符合进厂规定的垃圾进厂处置(监管方通知除外)每次扣4分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vAlign w:val="center"/>
          </w:tcPr>
          <w:p>
            <w:pPr>
              <w:ind w:firstLine="0" w:firstLineChars="0"/>
              <w:jc w:val="center"/>
              <w:rPr>
                <w:b/>
                <w:szCs w:val="28"/>
              </w:rPr>
            </w:pPr>
          </w:p>
        </w:tc>
        <w:tc>
          <w:tcPr>
            <w:tcW w:w="1326" w:type="dxa"/>
            <w:vMerge w:val="restart"/>
            <w:vAlign w:val="center"/>
          </w:tcPr>
          <w:p>
            <w:pPr>
              <w:ind w:firstLine="0" w:firstLineChars="0"/>
              <w:jc w:val="center"/>
              <w:rPr>
                <w:szCs w:val="28"/>
              </w:rPr>
            </w:pPr>
            <w:r>
              <w:rPr>
                <w:rFonts w:hint="eastAsia"/>
                <w:szCs w:val="28"/>
              </w:rPr>
              <w:t>（二）</w:t>
            </w:r>
          </w:p>
          <w:p>
            <w:pPr>
              <w:ind w:firstLine="0" w:firstLineChars="0"/>
              <w:jc w:val="center"/>
              <w:rPr>
                <w:szCs w:val="28"/>
              </w:rPr>
            </w:pPr>
            <w:r>
              <w:rPr>
                <w:szCs w:val="28"/>
              </w:rPr>
              <w:t>计量系统</w:t>
            </w:r>
          </w:p>
          <w:p>
            <w:pPr>
              <w:ind w:firstLine="0" w:firstLineChars="0"/>
              <w:jc w:val="center"/>
              <w:rPr>
                <w:szCs w:val="28"/>
              </w:rPr>
            </w:pPr>
            <w:r>
              <w:rPr>
                <w:rFonts w:hint="eastAsia"/>
                <w:szCs w:val="28"/>
              </w:rPr>
              <w:t>（6分）</w:t>
            </w:r>
          </w:p>
        </w:tc>
        <w:tc>
          <w:tcPr>
            <w:tcW w:w="1339" w:type="dxa"/>
            <w:vAlign w:val="center"/>
          </w:tcPr>
          <w:p>
            <w:pPr>
              <w:ind w:firstLine="0" w:firstLineChars="0"/>
              <w:jc w:val="center"/>
              <w:rPr>
                <w:szCs w:val="28"/>
              </w:rPr>
            </w:pPr>
            <w:r>
              <w:rPr>
                <w:szCs w:val="28"/>
              </w:rPr>
              <w:t>年审校验（2分）</w:t>
            </w:r>
          </w:p>
        </w:tc>
        <w:tc>
          <w:tcPr>
            <w:tcW w:w="4285" w:type="dxa"/>
            <w:vAlign w:val="center"/>
          </w:tcPr>
          <w:p>
            <w:pPr>
              <w:ind w:firstLine="0" w:firstLineChars="0"/>
              <w:jc w:val="left"/>
              <w:rPr>
                <w:szCs w:val="28"/>
              </w:rPr>
            </w:pPr>
            <w:r>
              <w:rPr>
                <w:szCs w:val="28"/>
              </w:rPr>
              <w:t>没有按时提交国家技术监督部门出具的有效校验证明，扣2分；在计量准确性方面弄虚作假的，扣2分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vAlign w:val="center"/>
          </w:tcPr>
          <w:p>
            <w:pPr>
              <w:ind w:firstLine="0" w:firstLineChars="0"/>
              <w:jc w:val="center"/>
              <w:rPr>
                <w:b/>
                <w:szCs w:val="28"/>
              </w:rPr>
            </w:pPr>
          </w:p>
        </w:tc>
        <w:tc>
          <w:tcPr>
            <w:tcW w:w="1326" w:type="dxa"/>
            <w:vMerge w:val="continue"/>
            <w:vAlign w:val="center"/>
          </w:tcPr>
          <w:p>
            <w:pPr>
              <w:ind w:firstLine="0" w:firstLineChars="0"/>
              <w:jc w:val="center"/>
              <w:rPr>
                <w:szCs w:val="28"/>
              </w:rPr>
            </w:pPr>
          </w:p>
        </w:tc>
        <w:tc>
          <w:tcPr>
            <w:tcW w:w="1339" w:type="dxa"/>
            <w:vAlign w:val="center"/>
          </w:tcPr>
          <w:p>
            <w:pPr>
              <w:ind w:firstLine="0" w:firstLineChars="0"/>
              <w:jc w:val="center"/>
              <w:rPr>
                <w:szCs w:val="28"/>
              </w:rPr>
            </w:pPr>
            <w:r>
              <w:rPr>
                <w:szCs w:val="28"/>
              </w:rPr>
              <w:t>运行情况（4分）</w:t>
            </w:r>
          </w:p>
        </w:tc>
        <w:tc>
          <w:tcPr>
            <w:tcW w:w="4285" w:type="dxa"/>
            <w:vAlign w:val="center"/>
          </w:tcPr>
          <w:p>
            <w:pPr>
              <w:ind w:firstLine="0" w:firstLineChars="0"/>
              <w:jc w:val="left"/>
              <w:rPr>
                <w:szCs w:val="28"/>
              </w:rPr>
            </w:pPr>
            <w:r>
              <w:rPr>
                <w:szCs w:val="28"/>
              </w:rPr>
              <w:t>称重计算机系统没有保留原始称重记录，每次扣2分；不按要求填写三联单，每次扣1分；三联单与计算机记录数据不一致，每次扣</w:t>
            </w:r>
            <w:r>
              <w:rPr>
                <w:rFonts w:hint="eastAsia"/>
                <w:szCs w:val="28"/>
              </w:rPr>
              <w:t>1</w:t>
            </w:r>
            <w:r>
              <w:rPr>
                <w:szCs w:val="28"/>
              </w:rPr>
              <w:t>分；不使用计量系统或不按规定使用计量系统，每次扣2分；计量系统出现故障</w:t>
            </w:r>
            <w:r>
              <w:rPr>
                <w:rFonts w:hint="eastAsia"/>
                <w:szCs w:val="28"/>
              </w:rPr>
              <w:t>影响垃圾计量，</w:t>
            </w:r>
            <w:r>
              <w:rPr>
                <w:szCs w:val="28"/>
              </w:rPr>
              <w:t>超过1天</w:t>
            </w:r>
            <w:r>
              <w:rPr>
                <w:rFonts w:hint="eastAsia"/>
                <w:szCs w:val="28"/>
              </w:rPr>
              <w:t>未予以维修</w:t>
            </w:r>
            <w:r>
              <w:rPr>
                <w:szCs w:val="28"/>
              </w:rPr>
              <w:t>，每天扣1分；计量系统出现故障造成垃圾运输车堵塞的，每次扣2分。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Align w:val="center"/>
          </w:tcPr>
          <w:p>
            <w:pPr>
              <w:ind w:firstLine="0" w:firstLineChars="0"/>
              <w:jc w:val="center"/>
              <w:rPr>
                <w:szCs w:val="28"/>
              </w:rPr>
            </w:pPr>
            <w:r>
              <w:rPr>
                <w:rFonts w:hint="eastAsia"/>
                <w:szCs w:val="28"/>
              </w:rPr>
              <w:t>（三）</w:t>
            </w:r>
          </w:p>
          <w:p>
            <w:pPr>
              <w:ind w:firstLine="0" w:firstLineChars="0"/>
              <w:jc w:val="center"/>
              <w:rPr>
                <w:szCs w:val="28"/>
              </w:rPr>
            </w:pPr>
            <w:r>
              <w:rPr>
                <w:szCs w:val="28"/>
              </w:rPr>
              <w:t>垃圾处理量</w:t>
            </w:r>
          </w:p>
          <w:p>
            <w:pPr>
              <w:ind w:firstLine="0" w:firstLineChars="0"/>
              <w:jc w:val="center"/>
              <w:rPr>
                <w:szCs w:val="28"/>
              </w:rPr>
            </w:pPr>
            <w:r>
              <w:rPr>
                <w:rFonts w:hint="eastAsia"/>
                <w:szCs w:val="28"/>
              </w:rPr>
              <w:t>（</w:t>
            </w:r>
            <w:r>
              <w:rPr>
                <w:szCs w:val="28"/>
              </w:rPr>
              <w:t>2</w:t>
            </w:r>
            <w:r>
              <w:rPr>
                <w:rFonts w:hint="eastAsia"/>
                <w:szCs w:val="28"/>
              </w:rPr>
              <w:t>分）</w:t>
            </w:r>
          </w:p>
        </w:tc>
        <w:tc>
          <w:tcPr>
            <w:tcW w:w="1339" w:type="dxa"/>
            <w:vAlign w:val="center"/>
          </w:tcPr>
          <w:p>
            <w:pPr>
              <w:ind w:firstLine="0" w:firstLineChars="0"/>
              <w:jc w:val="center"/>
              <w:rPr>
                <w:szCs w:val="28"/>
              </w:rPr>
            </w:pPr>
            <w:r>
              <w:rPr>
                <w:szCs w:val="28"/>
              </w:rPr>
              <w:t>月平均日处理量</w:t>
            </w:r>
          </w:p>
          <w:p>
            <w:pPr>
              <w:ind w:firstLine="0" w:firstLineChars="0"/>
              <w:jc w:val="center"/>
              <w:rPr>
                <w:szCs w:val="28"/>
              </w:rPr>
            </w:pPr>
            <w:r>
              <w:rPr>
                <w:szCs w:val="28"/>
              </w:rPr>
              <w:t>（2分）</w:t>
            </w:r>
          </w:p>
        </w:tc>
        <w:tc>
          <w:tcPr>
            <w:tcW w:w="4285" w:type="dxa"/>
            <w:vAlign w:val="center"/>
          </w:tcPr>
          <w:p>
            <w:pPr>
              <w:ind w:firstLine="0" w:firstLineChars="0"/>
              <w:jc w:val="left"/>
              <w:rPr>
                <w:szCs w:val="28"/>
              </w:rPr>
            </w:pPr>
            <w:r>
              <w:rPr>
                <w:szCs w:val="28"/>
              </w:rPr>
              <w:t>月</w:t>
            </w:r>
            <w:r>
              <w:rPr>
                <w:rFonts w:hint="eastAsia"/>
                <w:szCs w:val="28"/>
              </w:rPr>
              <w:t>正常运行时段，</w:t>
            </w:r>
            <w:r>
              <w:rPr>
                <w:szCs w:val="28"/>
              </w:rPr>
              <w:t>平均日处理量介于0.7倍和1.2倍额定日处理量得满分；月平均日处理量低于0.7倍额定日处理量或高于1.2倍额定日处理量，每次扣2分。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restart"/>
            <w:vAlign w:val="center"/>
          </w:tcPr>
          <w:p>
            <w:pPr>
              <w:ind w:firstLine="0" w:firstLineChars="0"/>
              <w:jc w:val="center"/>
              <w:rPr>
                <w:szCs w:val="28"/>
              </w:rPr>
            </w:pPr>
            <w:r>
              <w:rPr>
                <w:rFonts w:hint="eastAsia"/>
                <w:szCs w:val="28"/>
              </w:rPr>
              <w:t>（四）</w:t>
            </w:r>
          </w:p>
          <w:p>
            <w:pPr>
              <w:ind w:firstLine="0" w:firstLineChars="0"/>
              <w:jc w:val="center"/>
              <w:rPr>
                <w:szCs w:val="28"/>
              </w:rPr>
            </w:pPr>
            <w:r>
              <w:rPr>
                <w:szCs w:val="28"/>
              </w:rPr>
              <w:t>数据报表</w:t>
            </w:r>
          </w:p>
          <w:p>
            <w:pPr>
              <w:ind w:firstLine="0" w:firstLineChars="0"/>
              <w:jc w:val="center"/>
              <w:rPr>
                <w:szCs w:val="28"/>
              </w:rPr>
            </w:pPr>
            <w:r>
              <w:rPr>
                <w:rFonts w:hint="eastAsia"/>
                <w:szCs w:val="28"/>
              </w:rPr>
              <w:t>（</w:t>
            </w:r>
            <w:r>
              <w:rPr>
                <w:szCs w:val="28"/>
              </w:rPr>
              <w:t>7</w:t>
            </w:r>
            <w:r>
              <w:rPr>
                <w:rFonts w:hint="eastAsia"/>
                <w:szCs w:val="28"/>
              </w:rPr>
              <w:t>分）</w:t>
            </w:r>
          </w:p>
        </w:tc>
        <w:tc>
          <w:tcPr>
            <w:tcW w:w="1339" w:type="dxa"/>
            <w:vAlign w:val="center"/>
          </w:tcPr>
          <w:p>
            <w:pPr>
              <w:ind w:firstLine="0" w:firstLineChars="0"/>
              <w:jc w:val="center"/>
              <w:rPr>
                <w:szCs w:val="28"/>
              </w:rPr>
            </w:pPr>
            <w:r>
              <w:rPr>
                <w:szCs w:val="28"/>
              </w:rPr>
              <w:t>报送及时性</w:t>
            </w:r>
          </w:p>
          <w:p>
            <w:pPr>
              <w:ind w:firstLine="0" w:firstLineChars="0"/>
              <w:jc w:val="center"/>
              <w:rPr>
                <w:szCs w:val="28"/>
              </w:rPr>
            </w:pPr>
            <w:r>
              <w:rPr>
                <w:szCs w:val="28"/>
              </w:rPr>
              <w:t>（2分）</w:t>
            </w:r>
          </w:p>
        </w:tc>
        <w:tc>
          <w:tcPr>
            <w:tcW w:w="4285" w:type="dxa"/>
            <w:vAlign w:val="center"/>
          </w:tcPr>
          <w:p>
            <w:pPr>
              <w:ind w:firstLine="0" w:firstLineChars="0"/>
              <w:jc w:val="left"/>
              <w:rPr>
                <w:szCs w:val="28"/>
              </w:rPr>
            </w:pPr>
            <w:r>
              <w:rPr>
                <w:szCs w:val="28"/>
              </w:rPr>
              <w:t>超过规定时间5日仍未上报月(年)度报表(报告)、设备检修和垃圾供应计划，每次扣2分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continue"/>
            <w:vAlign w:val="center"/>
          </w:tcPr>
          <w:p>
            <w:pPr>
              <w:ind w:firstLine="0" w:firstLineChars="0"/>
              <w:jc w:val="center"/>
              <w:rPr>
                <w:szCs w:val="28"/>
              </w:rPr>
            </w:pPr>
          </w:p>
        </w:tc>
        <w:tc>
          <w:tcPr>
            <w:tcW w:w="1339" w:type="dxa"/>
            <w:vAlign w:val="center"/>
          </w:tcPr>
          <w:p>
            <w:pPr>
              <w:ind w:firstLine="0" w:firstLineChars="0"/>
              <w:jc w:val="center"/>
              <w:rPr>
                <w:szCs w:val="28"/>
              </w:rPr>
            </w:pPr>
            <w:r>
              <w:rPr>
                <w:szCs w:val="28"/>
              </w:rPr>
              <w:t>数据报表准确性</w:t>
            </w:r>
          </w:p>
          <w:p>
            <w:pPr>
              <w:ind w:firstLine="0" w:firstLineChars="0"/>
              <w:jc w:val="center"/>
              <w:rPr>
                <w:szCs w:val="28"/>
              </w:rPr>
            </w:pPr>
            <w:r>
              <w:rPr>
                <w:szCs w:val="28"/>
              </w:rPr>
              <w:t>（5分）</w:t>
            </w:r>
          </w:p>
        </w:tc>
        <w:tc>
          <w:tcPr>
            <w:tcW w:w="4285" w:type="dxa"/>
            <w:vAlign w:val="center"/>
          </w:tcPr>
          <w:p>
            <w:pPr>
              <w:ind w:firstLine="0" w:firstLineChars="0"/>
              <w:jc w:val="left"/>
              <w:rPr>
                <w:szCs w:val="28"/>
              </w:rPr>
            </w:pPr>
            <w:r>
              <w:rPr>
                <w:szCs w:val="28"/>
              </w:rPr>
              <w:t>虚报垃圾处理量数据或报表数据弄虚作假的，每次扣5分；报表项目不按要求填报，每次扣2分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restart"/>
            <w:vAlign w:val="center"/>
          </w:tcPr>
          <w:p>
            <w:pPr>
              <w:ind w:firstLine="0" w:firstLineChars="0"/>
              <w:jc w:val="center"/>
              <w:rPr>
                <w:szCs w:val="28"/>
              </w:rPr>
            </w:pPr>
            <w:r>
              <w:rPr>
                <w:rFonts w:hint="eastAsia"/>
                <w:szCs w:val="28"/>
              </w:rPr>
              <w:t>（五）</w:t>
            </w:r>
          </w:p>
          <w:p>
            <w:pPr>
              <w:ind w:firstLine="0" w:firstLineChars="0"/>
              <w:jc w:val="center"/>
              <w:rPr>
                <w:szCs w:val="28"/>
              </w:rPr>
            </w:pPr>
            <w:r>
              <w:rPr>
                <w:szCs w:val="28"/>
              </w:rPr>
              <w:t>运营</w:t>
            </w:r>
            <w:r>
              <w:rPr>
                <w:rFonts w:hint="eastAsia"/>
                <w:szCs w:val="28"/>
              </w:rPr>
              <w:t>管理</w:t>
            </w:r>
          </w:p>
          <w:p>
            <w:pPr>
              <w:ind w:firstLine="0" w:firstLineChars="0"/>
              <w:jc w:val="center"/>
              <w:rPr>
                <w:szCs w:val="28"/>
              </w:rPr>
            </w:pPr>
            <w:r>
              <w:rPr>
                <w:rFonts w:hint="eastAsia"/>
                <w:szCs w:val="28"/>
              </w:rPr>
              <w:t>（2</w:t>
            </w:r>
            <w:r>
              <w:rPr>
                <w:szCs w:val="28"/>
              </w:rPr>
              <w:t>8</w:t>
            </w:r>
            <w:r>
              <w:rPr>
                <w:rFonts w:hint="eastAsia"/>
                <w:szCs w:val="28"/>
              </w:rPr>
              <w:t>分）</w:t>
            </w:r>
          </w:p>
        </w:tc>
        <w:tc>
          <w:tcPr>
            <w:tcW w:w="1339" w:type="dxa"/>
            <w:vAlign w:val="center"/>
          </w:tcPr>
          <w:p>
            <w:pPr>
              <w:ind w:firstLine="0" w:firstLineChars="0"/>
              <w:jc w:val="center"/>
              <w:rPr>
                <w:szCs w:val="28"/>
              </w:rPr>
            </w:pPr>
            <w:r>
              <w:rPr>
                <w:szCs w:val="28"/>
              </w:rPr>
              <w:t>设施设备运行情况（2分）</w:t>
            </w:r>
          </w:p>
        </w:tc>
        <w:tc>
          <w:tcPr>
            <w:tcW w:w="4285" w:type="dxa"/>
            <w:vAlign w:val="center"/>
          </w:tcPr>
          <w:p>
            <w:pPr>
              <w:ind w:firstLine="0" w:firstLineChars="0"/>
              <w:jc w:val="left"/>
              <w:rPr>
                <w:szCs w:val="28"/>
              </w:rPr>
            </w:pPr>
            <w:r>
              <w:rPr>
                <w:szCs w:val="28"/>
              </w:rPr>
              <w:t>应定期按计划进行设施设备的维护保养工作，当设施设备出现故障影响垃圾处置时，应及时书面通知监管方并预计恢复正常生产的时间，如有违反每次扣2分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continue"/>
            <w:vAlign w:val="center"/>
          </w:tcPr>
          <w:p>
            <w:pPr>
              <w:ind w:firstLine="0" w:firstLineChars="0"/>
              <w:jc w:val="center"/>
              <w:rPr>
                <w:szCs w:val="28"/>
              </w:rPr>
            </w:pPr>
          </w:p>
        </w:tc>
        <w:tc>
          <w:tcPr>
            <w:tcW w:w="1339" w:type="dxa"/>
            <w:vAlign w:val="center"/>
          </w:tcPr>
          <w:p>
            <w:pPr>
              <w:ind w:firstLine="0" w:firstLineChars="0"/>
              <w:jc w:val="center"/>
              <w:rPr>
                <w:szCs w:val="28"/>
              </w:rPr>
            </w:pPr>
            <w:r>
              <w:rPr>
                <w:szCs w:val="28"/>
              </w:rPr>
              <w:t>卸料大厅管理</w:t>
            </w:r>
          </w:p>
          <w:p>
            <w:pPr>
              <w:ind w:firstLine="0" w:firstLineChars="0"/>
              <w:jc w:val="center"/>
              <w:rPr>
                <w:szCs w:val="28"/>
              </w:rPr>
            </w:pPr>
            <w:r>
              <w:rPr>
                <w:szCs w:val="28"/>
              </w:rPr>
              <w:t>（4分）</w:t>
            </w:r>
          </w:p>
        </w:tc>
        <w:tc>
          <w:tcPr>
            <w:tcW w:w="4285" w:type="dxa"/>
            <w:vAlign w:val="center"/>
          </w:tcPr>
          <w:p>
            <w:pPr>
              <w:ind w:firstLine="0" w:firstLineChars="0"/>
              <w:jc w:val="left"/>
              <w:rPr>
                <w:szCs w:val="28"/>
              </w:rPr>
            </w:pPr>
            <w:r>
              <w:rPr>
                <w:szCs w:val="28"/>
              </w:rPr>
              <w:t>应派设专人指挥卸料，并对卸料大厅进行清扫保洁。如出现指挥、保洁人员脱岗现象的，每次扣0.5分；如有大量垃圾积存在卸料口且保洁人员没有及时清理、地面污水集结严重的，每次扣1分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continue"/>
            <w:vAlign w:val="center"/>
          </w:tcPr>
          <w:p>
            <w:pPr>
              <w:ind w:firstLine="0" w:firstLineChars="0"/>
              <w:jc w:val="center"/>
              <w:rPr>
                <w:szCs w:val="28"/>
              </w:rPr>
            </w:pPr>
          </w:p>
        </w:tc>
        <w:tc>
          <w:tcPr>
            <w:tcW w:w="1339" w:type="dxa"/>
            <w:vAlign w:val="center"/>
          </w:tcPr>
          <w:p>
            <w:pPr>
              <w:ind w:firstLine="0" w:firstLineChars="0"/>
              <w:jc w:val="center"/>
              <w:rPr>
                <w:szCs w:val="28"/>
              </w:rPr>
            </w:pPr>
            <w:r>
              <w:rPr>
                <w:szCs w:val="28"/>
              </w:rPr>
              <w:t>炉膛负压控制</w:t>
            </w:r>
          </w:p>
          <w:p>
            <w:pPr>
              <w:ind w:firstLine="0" w:firstLineChars="0"/>
              <w:jc w:val="center"/>
              <w:rPr>
                <w:szCs w:val="28"/>
              </w:rPr>
            </w:pPr>
            <w:r>
              <w:rPr>
                <w:szCs w:val="28"/>
              </w:rPr>
              <w:t>（2分）</w:t>
            </w:r>
          </w:p>
        </w:tc>
        <w:tc>
          <w:tcPr>
            <w:tcW w:w="4285" w:type="dxa"/>
            <w:vAlign w:val="center"/>
          </w:tcPr>
          <w:p>
            <w:pPr>
              <w:ind w:firstLine="0" w:firstLineChars="0"/>
              <w:jc w:val="left"/>
              <w:rPr>
                <w:szCs w:val="28"/>
              </w:rPr>
            </w:pPr>
            <w:r>
              <w:rPr>
                <w:szCs w:val="28"/>
              </w:rPr>
              <w:t>炉膛每天均保持微负压得满分；正常运行d日(除去检修日)情况下，任一焚烧线存在n个小时微正压的情况，扣2n/24d分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continue"/>
            <w:vAlign w:val="center"/>
          </w:tcPr>
          <w:p>
            <w:pPr>
              <w:ind w:firstLine="0" w:firstLineChars="0"/>
              <w:jc w:val="center"/>
              <w:rPr>
                <w:szCs w:val="28"/>
              </w:rPr>
            </w:pPr>
          </w:p>
        </w:tc>
        <w:tc>
          <w:tcPr>
            <w:tcW w:w="1339" w:type="dxa"/>
            <w:vAlign w:val="center"/>
          </w:tcPr>
          <w:p>
            <w:pPr>
              <w:ind w:firstLine="0" w:firstLineChars="0"/>
              <w:jc w:val="center"/>
              <w:rPr>
                <w:szCs w:val="28"/>
              </w:rPr>
            </w:pPr>
            <w:r>
              <w:rPr>
                <w:szCs w:val="28"/>
              </w:rPr>
              <w:t>炉膛温度（10分）</w:t>
            </w:r>
          </w:p>
        </w:tc>
        <w:tc>
          <w:tcPr>
            <w:tcW w:w="4285" w:type="dxa"/>
            <w:vAlign w:val="center"/>
          </w:tcPr>
          <w:p>
            <w:pPr>
              <w:ind w:firstLine="0" w:firstLineChars="0"/>
              <w:jc w:val="left"/>
              <w:rPr>
                <w:szCs w:val="28"/>
              </w:rPr>
            </w:pPr>
            <w:r>
              <w:rPr>
                <w:rFonts w:hint="eastAsia"/>
                <w:szCs w:val="28"/>
              </w:rPr>
              <w:t>正常工况下焚烧炉</w:t>
            </w:r>
            <w:r>
              <w:rPr>
                <w:szCs w:val="28"/>
              </w:rPr>
              <w:t>炉膛</w:t>
            </w:r>
            <w:r>
              <w:rPr>
                <w:rFonts w:hint="eastAsia"/>
                <w:szCs w:val="28"/>
              </w:rPr>
              <w:t>中部与上部断面各自热电偶测量</w:t>
            </w:r>
            <w:r>
              <w:rPr>
                <w:szCs w:val="28"/>
              </w:rPr>
              <w:t>温度</w:t>
            </w:r>
            <w:r>
              <w:rPr>
                <w:rFonts w:hint="eastAsia"/>
                <w:szCs w:val="28"/>
              </w:rPr>
              <w:t>均值（每断面至少2个测量点）的平均值</w:t>
            </w:r>
            <w:r>
              <w:rPr>
                <w:szCs w:val="28"/>
              </w:rPr>
              <w:t>850℃得满分；正常运行d日(除去检修日)情况下，任一焚烧线存在n个小时低于850℃的情况，扣10n/24d</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continue"/>
            <w:vAlign w:val="center"/>
          </w:tcPr>
          <w:p>
            <w:pPr>
              <w:ind w:firstLine="0" w:firstLineChars="0"/>
              <w:jc w:val="center"/>
              <w:rPr>
                <w:szCs w:val="28"/>
              </w:rPr>
            </w:pPr>
          </w:p>
        </w:tc>
        <w:tc>
          <w:tcPr>
            <w:tcW w:w="1339" w:type="dxa"/>
            <w:vAlign w:val="center"/>
          </w:tcPr>
          <w:p>
            <w:pPr>
              <w:ind w:firstLine="0" w:firstLineChars="0"/>
              <w:jc w:val="center"/>
              <w:rPr>
                <w:szCs w:val="28"/>
              </w:rPr>
            </w:pPr>
            <w:r>
              <w:rPr>
                <w:szCs w:val="28"/>
              </w:rPr>
              <w:t>停炉检修（5分）</w:t>
            </w:r>
          </w:p>
        </w:tc>
        <w:tc>
          <w:tcPr>
            <w:tcW w:w="4285" w:type="dxa"/>
            <w:vAlign w:val="center"/>
          </w:tcPr>
          <w:p>
            <w:pPr>
              <w:ind w:firstLine="0" w:firstLineChars="0"/>
              <w:jc w:val="left"/>
              <w:rPr>
                <w:szCs w:val="28"/>
              </w:rPr>
            </w:pPr>
            <w:r>
              <w:rPr>
                <w:szCs w:val="28"/>
              </w:rPr>
              <w:t>检修计划未能保障每台焚烧炉的年运行时间不少于8000小时的，</w:t>
            </w:r>
            <w:r>
              <w:rPr>
                <w:rFonts w:hint="eastAsia"/>
                <w:szCs w:val="28"/>
              </w:rPr>
              <w:t>每</w:t>
            </w:r>
            <w:r>
              <w:rPr>
                <w:szCs w:val="28"/>
              </w:rPr>
              <w:t>次扣5分。</w:t>
            </w:r>
            <w:r>
              <w:rPr>
                <w:rFonts w:hint="eastAsia"/>
                <w:szCs w:val="28"/>
              </w:rPr>
              <w:t>计划性停炉未提前5天告知主管部门，每发现一次扣2分</w:t>
            </w:r>
            <w:r>
              <w:rPr>
                <w:rFonts w:hint="eastAsia"/>
              </w:rPr>
              <w:t>。临时故障停炉，未在1h之内告知主管部门，每发现一次扣2分。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continue"/>
            <w:vAlign w:val="center"/>
          </w:tcPr>
          <w:p>
            <w:pPr>
              <w:ind w:firstLine="0" w:firstLineChars="0"/>
              <w:jc w:val="center"/>
              <w:rPr>
                <w:szCs w:val="28"/>
              </w:rPr>
            </w:pPr>
          </w:p>
        </w:tc>
        <w:tc>
          <w:tcPr>
            <w:tcW w:w="1339" w:type="dxa"/>
            <w:vAlign w:val="center"/>
          </w:tcPr>
          <w:p>
            <w:pPr>
              <w:ind w:firstLine="0" w:firstLineChars="0"/>
              <w:jc w:val="center"/>
              <w:rPr>
                <w:szCs w:val="28"/>
              </w:rPr>
            </w:pPr>
            <w:r>
              <w:rPr>
                <w:szCs w:val="28"/>
              </w:rPr>
              <w:t>耗材用量（5分）</w:t>
            </w:r>
          </w:p>
        </w:tc>
        <w:tc>
          <w:tcPr>
            <w:tcW w:w="4285" w:type="dxa"/>
            <w:vAlign w:val="center"/>
          </w:tcPr>
          <w:p>
            <w:pPr>
              <w:ind w:firstLine="0" w:firstLineChars="0"/>
              <w:jc w:val="left"/>
              <w:rPr>
                <w:szCs w:val="28"/>
              </w:rPr>
            </w:pPr>
            <w:r>
              <w:rPr>
                <w:szCs w:val="28"/>
              </w:rPr>
              <w:t>主要耗材的消耗量(氨水、石灰、活性炭等)每天达到或超过基准用量得满分，每一项未达到扣2分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tcPr>
          <w:p>
            <w:pPr>
              <w:ind w:firstLine="0" w:firstLineChars="0"/>
              <w:jc w:val="center"/>
              <w:rPr>
                <w:szCs w:val="28"/>
              </w:rPr>
            </w:pPr>
            <w:r>
              <w:rPr>
                <w:rFonts w:hint="eastAsia"/>
                <w:szCs w:val="28"/>
              </w:rPr>
              <w:t>二、安全生产</w:t>
            </w:r>
          </w:p>
        </w:tc>
        <w:tc>
          <w:tcPr>
            <w:tcW w:w="1326" w:type="dxa"/>
            <w:vAlign w:val="center"/>
          </w:tcPr>
          <w:p>
            <w:pPr>
              <w:ind w:firstLine="0" w:firstLineChars="0"/>
              <w:jc w:val="center"/>
              <w:rPr>
                <w:szCs w:val="28"/>
              </w:rPr>
            </w:pPr>
            <w:r>
              <w:rPr>
                <w:rFonts w:hint="eastAsia"/>
                <w:szCs w:val="28"/>
              </w:rPr>
              <w:t>安全生产管理</w:t>
            </w:r>
          </w:p>
          <w:p>
            <w:pPr>
              <w:ind w:firstLine="0" w:firstLineChars="0"/>
              <w:jc w:val="center"/>
              <w:rPr>
                <w:szCs w:val="28"/>
              </w:rPr>
            </w:pPr>
            <w:r>
              <w:rPr>
                <w:szCs w:val="28"/>
              </w:rPr>
              <w:t>（8分）</w:t>
            </w:r>
          </w:p>
        </w:tc>
        <w:tc>
          <w:tcPr>
            <w:tcW w:w="1339" w:type="dxa"/>
            <w:vAlign w:val="center"/>
          </w:tcPr>
          <w:p>
            <w:pPr>
              <w:ind w:firstLine="0" w:firstLineChars="0"/>
              <w:jc w:val="center"/>
              <w:rPr>
                <w:szCs w:val="28"/>
              </w:rPr>
            </w:pPr>
            <w:r>
              <w:rPr>
                <w:szCs w:val="28"/>
              </w:rPr>
              <w:t>安全生产（8分）</w:t>
            </w:r>
          </w:p>
        </w:tc>
        <w:tc>
          <w:tcPr>
            <w:tcW w:w="4285" w:type="dxa"/>
            <w:vAlign w:val="center"/>
          </w:tcPr>
          <w:p>
            <w:pPr>
              <w:ind w:firstLine="0" w:firstLineChars="0"/>
              <w:jc w:val="left"/>
              <w:rPr>
                <w:szCs w:val="28"/>
              </w:rPr>
            </w:pPr>
            <w:r>
              <w:rPr>
                <w:szCs w:val="28"/>
              </w:rPr>
              <w:t>安全措施不健全、不落实或发现事故隐患不及时进行整改，每次扣2分；安全警示标识缺失、破损或掉落未及时补上，每处不符扣1分。由于违规作业造成安全事故，视情节轻重，每宗扣3-8分；隐瞒事故，每宗扣8分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tcPr>
          <w:p>
            <w:pPr>
              <w:jc w:val="center"/>
              <w:rPr>
                <w:szCs w:val="28"/>
              </w:rPr>
            </w:pPr>
            <w:r>
              <w:rPr>
                <w:rFonts w:hint="eastAsia"/>
                <w:szCs w:val="28"/>
              </w:rPr>
              <w:t>三、环保措施</w:t>
            </w:r>
          </w:p>
        </w:tc>
        <w:tc>
          <w:tcPr>
            <w:tcW w:w="1326" w:type="dxa"/>
            <w:vMerge w:val="restart"/>
            <w:vAlign w:val="center"/>
          </w:tcPr>
          <w:p>
            <w:pPr>
              <w:ind w:firstLine="0" w:firstLineChars="0"/>
              <w:jc w:val="center"/>
              <w:rPr>
                <w:szCs w:val="28"/>
              </w:rPr>
            </w:pPr>
            <w:r>
              <w:rPr>
                <w:rFonts w:hint="eastAsia"/>
                <w:szCs w:val="28"/>
              </w:rPr>
              <w:t>（一）</w:t>
            </w:r>
          </w:p>
          <w:p>
            <w:pPr>
              <w:ind w:firstLine="0" w:firstLineChars="0"/>
              <w:jc w:val="center"/>
              <w:rPr>
                <w:szCs w:val="28"/>
              </w:rPr>
            </w:pPr>
            <w:r>
              <w:rPr>
                <w:rFonts w:hint="eastAsia"/>
                <w:szCs w:val="28"/>
              </w:rPr>
              <w:t>厂区污染治理</w:t>
            </w:r>
          </w:p>
          <w:p>
            <w:pPr>
              <w:ind w:firstLine="0" w:firstLineChars="0"/>
              <w:jc w:val="center"/>
              <w:rPr>
                <w:szCs w:val="28"/>
              </w:rPr>
            </w:pPr>
            <w:r>
              <w:rPr>
                <w:rFonts w:hint="eastAsia"/>
                <w:szCs w:val="28"/>
              </w:rPr>
              <w:t>（4分）</w:t>
            </w:r>
          </w:p>
        </w:tc>
        <w:tc>
          <w:tcPr>
            <w:tcW w:w="1339" w:type="dxa"/>
            <w:vAlign w:val="center"/>
          </w:tcPr>
          <w:p>
            <w:pPr>
              <w:ind w:firstLine="0" w:firstLineChars="0"/>
              <w:jc w:val="center"/>
              <w:rPr>
                <w:szCs w:val="28"/>
              </w:rPr>
            </w:pPr>
            <w:r>
              <w:rPr>
                <w:szCs w:val="28"/>
              </w:rPr>
              <w:t>道路污染治理情况（2分）</w:t>
            </w:r>
          </w:p>
        </w:tc>
        <w:tc>
          <w:tcPr>
            <w:tcW w:w="4285" w:type="dxa"/>
            <w:vAlign w:val="center"/>
          </w:tcPr>
          <w:p>
            <w:pPr>
              <w:ind w:firstLine="0" w:firstLineChars="0"/>
              <w:jc w:val="left"/>
              <w:rPr>
                <w:szCs w:val="28"/>
              </w:rPr>
            </w:pPr>
            <w:r>
              <w:rPr>
                <w:szCs w:val="28"/>
              </w:rPr>
              <w:t>每天作业高峰期后，应对厂内垃圾运输道路进行清扫和冲洗场地，每日不少于一次，地面无撒漏垃圾，每项不符扣0.5分；炉渣应用专用的车辆运输至指定地点称重、卸车，运输途中不得洒落炉渣或漏水，如有违反每次扣0.5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continue"/>
            <w:vAlign w:val="center"/>
          </w:tcPr>
          <w:p>
            <w:pPr>
              <w:ind w:firstLine="0" w:firstLineChars="0"/>
              <w:jc w:val="center"/>
              <w:rPr>
                <w:szCs w:val="28"/>
              </w:rPr>
            </w:pPr>
          </w:p>
        </w:tc>
        <w:tc>
          <w:tcPr>
            <w:tcW w:w="1339" w:type="dxa"/>
            <w:vAlign w:val="center"/>
          </w:tcPr>
          <w:p>
            <w:pPr>
              <w:ind w:firstLine="0" w:firstLineChars="0"/>
              <w:jc w:val="center"/>
              <w:rPr>
                <w:szCs w:val="28"/>
              </w:rPr>
            </w:pPr>
            <w:r>
              <w:rPr>
                <w:szCs w:val="28"/>
              </w:rPr>
              <w:t>除尘与脱臭</w:t>
            </w:r>
          </w:p>
          <w:p>
            <w:pPr>
              <w:ind w:firstLine="0" w:firstLineChars="0"/>
              <w:jc w:val="center"/>
              <w:rPr>
                <w:szCs w:val="28"/>
              </w:rPr>
            </w:pPr>
            <w:r>
              <w:rPr>
                <w:szCs w:val="28"/>
              </w:rPr>
              <w:t>（2分）</w:t>
            </w:r>
          </w:p>
        </w:tc>
        <w:tc>
          <w:tcPr>
            <w:tcW w:w="4285" w:type="dxa"/>
            <w:vAlign w:val="center"/>
          </w:tcPr>
          <w:p>
            <w:pPr>
              <w:ind w:firstLine="0" w:firstLineChars="0"/>
              <w:jc w:val="left"/>
              <w:rPr>
                <w:szCs w:val="28"/>
              </w:rPr>
            </w:pPr>
            <w:r>
              <w:rPr>
                <w:szCs w:val="28"/>
              </w:rPr>
              <w:t>厂内无明显臭味，灰尘少，每项不符合扣1分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restart"/>
            <w:vAlign w:val="center"/>
          </w:tcPr>
          <w:p>
            <w:pPr>
              <w:ind w:firstLine="0" w:firstLineChars="0"/>
              <w:jc w:val="center"/>
              <w:rPr>
                <w:szCs w:val="28"/>
              </w:rPr>
            </w:pPr>
            <w:r>
              <w:rPr>
                <w:rFonts w:hint="eastAsia"/>
                <w:szCs w:val="28"/>
              </w:rPr>
              <w:t>（二）</w:t>
            </w:r>
          </w:p>
          <w:p>
            <w:pPr>
              <w:ind w:firstLine="0" w:firstLineChars="0"/>
              <w:jc w:val="center"/>
              <w:rPr>
                <w:szCs w:val="28"/>
              </w:rPr>
            </w:pPr>
            <w:r>
              <w:rPr>
                <w:rFonts w:hint="eastAsia"/>
                <w:szCs w:val="28"/>
              </w:rPr>
              <w:t>环境监测</w:t>
            </w:r>
          </w:p>
          <w:p>
            <w:pPr>
              <w:ind w:firstLine="0" w:firstLineChars="0"/>
              <w:jc w:val="center"/>
              <w:rPr>
                <w:szCs w:val="28"/>
              </w:rPr>
            </w:pPr>
            <w:r>
              <w:rPr>
                <w:rFonts w:hint="eastAsia"/>
                <w:szCs w:val="28"/>
              </w:rPr>
              <w:t>（</w:t>
            </w:r>
            <w:r>
              <w:rPr>
                <w:szCs w:val="28"/>
              </w:rPr>
              <w:t>15</w:t>
            </w:r>
            <w:r>
              <w:rPr>
                <w:rFonts w:hint="eastAsia"/>
                <w:szCs w:val="28"/>
              </w:rPr>
              <w:t>分）</w:t>
            </w:r>
          </w:p>
        </w:tc>
        <w:tc>
          <w:tcPr>
            <w:tcW w:w="1339" w:type="dxa"/>
            <w:vAlign w:val="center"/>
          </w:tcPr>
          <w:p>
            <w:pPr>
              <w:ind w:firstLine="0" w:firstLineChars="0"/>
              <w:jc w:val="center"/>
              <w:rPr>
                <w:szCs w:val="28"/>
              </w:rPr>
            </w:pPr>
            <w:r>
              <w:rPr>
                <w:szCs w:val="28"/>
              </w:rPr>
              <w:t>环境监测情况</w:t>
            </w:r>
          </w:p>
          <w:p>
            <w:pPr>
              <w:ind w:firstLine="0" w:firstLineChars="0"/>
              <w:jc w:val="center"/>
              <w:rPr>
                <w:szCs w:val="28"/>
              </w:rPr>
            </w:pPr>
            <w:r>
              <w:rPr>
                <w:szCs w:val="28"/>
              </w:rPr>
              <w:t>（10分）</w:t>
            </w:r>
          </w:p>
        </w:tc>
        <w:tc>
          <w:tcPr>
            <w:tcW w:w="4285" w:type="dxa"/>
            <w:vAlign w:val="center"/>
          </w:tcPr>
          <w:p>
            <w:pPr>
              <w:ind w:firstLine="0" w:firstLineChars="0"/>
              <w:jc w:val="left"/>
              <w:rPr>
                <w:szCs w:val="28"/>
              </w:rPr>
            </w:pPr>
            <w:r>
              <w:rPr>
                <w:szCs w:val="28"/>
              </w:rPr>
              <w:t>不按规定次数、方法进行环境监测，每次扣1分；监测数据弄虚作假，每次扣5分；烟气在线监测数据每小时平均值未达到排放标准</w:t>
            </w:r>
            <w:r>
              <w:rPr>
                <w:rFonts w:hint="eastAsia"/>
                <w:szCs w:val="28"/>
              </w:rPr>
              <w:t>（规范豁免时间内的除外）</w:t>
            </w:r>
            <w:r>
              <w:rPr>
                <w:szCs w:val="28"/>
              </w:rPr>
              <w:t>，每项每次扣0.5分；监测的污染物排放指标和炉渣热灼减率指标未达到排放标准或合同要求，每项每次扣5分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continue"/>
            <w:vAlign w:val="center"/>
          </w:tcPr>
          <w:p>
            <w:pPr>
              <w:ind w:firstLine="0" w:firstLineChars="0"/>
              <w:jc w:val="center"/>
              <w:rPr>
                <w:szCs w:val="28"/>
              </w:rPr>
            </w:pPr>
          </w:p>
        </w:tc>
        <w:tc>
          <w:tcPr>
            <w:tcW w:w="1339" w:type="dxa"/>
            <w:vAlign w:val="center"/>
          </w:tcPr>
          <w:p>
            <w:pPr>
              <w:ind w:firstLine="0" w:firstLineChars="0"/>
              <w:jc w:val="center"/>
              <w:rPr>
                <w:szCs w:val="28"/>
              </w:rPr>
            </w:pPr>
            <w:r>
              <w:rPr>
                <w:szCs w:val="28"/>
              </w:rPr>
              <w:t>在线监测（5分）</w:t>
            </w:r>
          </w:p>
        </w:tc>
        <w:tc>
          <w:tcPr>
            <w:tcW w:w="4285" w:type="dxa"/>
            <w:vAlign w:val="center"/>
          </w:tcPr>
          <w:p>
            <w:pPr>
              <w:ind w:firstLine="0" w:firstLineChars="0"/>
              <w:jc w:val="left"/>
              <w:rPr>
                <w:szCs w:val="28"/>
              </w:rPr>
            </w:pPr>
            <w:r>
              <w:rPr>
                <w:szCs w:val="28"/>
              </w:rPr>
              <w:t>不按规定安装在线监测系统，当月扣5分；不按规定对在线监测系统进行校准，每次扣2分，在线监测系统出现故障5日仍未能正常运行的，当月扣5分</w:t>
            </w:r>
            <w:r>
              <w:rPr>
                <w:rFonts w:hint="eastAsia"/>
              </w:rPr>
              <w:t>。若故障维修期间按照国家有关规范进行人工采样监测的不予扣分。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restart"/>
            <w:vAlign w:val="center"/>
          </w:tcPr>
          <w:p>
            <w:pPr>
              <w:ind w:firstLine="0" w:firstLineChars="0"/>
              <w:jc w:val="center"/>
              <w:rPr>
                <w:szCs w:val="28"/>
              </w:rPr>
            </w:pPr>
            <w:r>
              <w:rPr>
                <w:rFonts w:hint="eastAsia"/>
                <w:szCs w:val="28"/>
              </w:rPr>
              <w:t>（三）</w:t>
            </w:r>
          </w:p>
          <w:p>
            <w:pPr>
              <w:ind w:firstLine="0" w:firstLineChars="0"/>
              <w:jc w:val="center"/>
              <w:rPr>
                <w:szCs w:val="28"/>
              </w:rPr>
            </w:pPr>
            <w:r>
              <w:rPr>
                <w:rFonts w:hint="eastAsia"/>
                <w:szCs w:val="28"/>
              </w:rPr>
              <w:t>废物处理</w:t>
            </w:r>
          </w:p>
          <w:p>
            <w:pPr>
              <w:ind w:firstLine="0" w:firstLineChars="0"/>
              <w:jc w:val="center"/>
              <w:rPr>
                <w:szCs w:val="28"/>
              </w:rPr>
            </w:pPr>
            <w:r>
              <w:rPr>
                <w:rFonts w:hint="eastAsia"/>
                <w:szCs w:val="28"/>
              </w:rPr>
              <w:t>（</w:t>
            </w:r>
            <w:r>
              <w:rPr>
                <w:szCs w:val="28"/>
              </w:rPr>
              <w:t>12</w:t>
            </w:r>
            <w:r>
              <w:rPr>
                <w:rFonts w:hint="eastAsia"/>
                <w:szCs w:val="28"/>
              </w:rPr>
              <w:t>分）</w:t>
            </w:r>
          </w:p>
        </w:tc>
        <w:tc>
          <w:tcPr>
            <w:tcW w:w="1339" w:type="dxa"/>
            <w:vAlign w:val="center"/>
          </w:tcPr>
          <w:p>
            <w:pPr>
              <w:ind w:firstLine="0" w:firstLineChars="0"/>
              <w:jc w:val="center"/>
              <w:rPr>
                <w:szCs w:val="28"/>
              </w:rPr>
            </w:pPr>
            <w:r>
              <w:rPr>
                <w:szCs w:val="28"/>
              </w:rPr>
              <w:t>危险废物控制</w:t>
            </w:r>
          </w:p>
          <w:p>
            <w:pPr>
              <w:ind w:firstLine="0" w:firstLineChars="0"/>
              <w:jc w:val="center"/>
              <w:rPr>
                <w:szCs w:val="28"/>
              </w:rPr>
            </w:pPr>
            <w:r>
              <w:rPr>
                <w:szCs w:val="28"/>
              </w:rPr>
              <w:t>（10分）</w:t>
            </w:r>
          </w:p>
        </w:tc>
        <w:tc>
          <w:tcPr>
            <w:tcW w:w="4285" w:type="dxa"/>
            <w:vAlign w:val="center"/>
          </w:tcPr>
          <w:p>
            <w:pPr>
              <w:ind w:firstLine="0" w:firstLineChars="0"/>
              <w:jc w:val="left"/>
              <w:rPr>
                <w:szCs w:val="28"/>
              </w:rPr>
            </w:pPr>
            <w:r>
              <w:rPr>
                <w:szCs w:val="28"/>
              </w:rPr>
              <w:t>渗滤液在输送全程中未保持密封状态，造成渗滤液溢漏的，当月扣5分；出现飞灰洒落</w:t>
            </w:r>
            <w:r>
              <w:rPr>
                <w:rFonts w:hint="eastAsia"/>
                <w:szCs w:val="28"/>
              </w:rPr>
              <w:t>、</w:t>
            </w:r>
            <w:r>
              <w:rPr>
                <w:szCs w:val="28"/>
              </w:rPr>
              <w:t>飞灰结块造成飞灰出口堵塞</w:t>
            </w:r>
            <w:r>
              <w:rPr>
                <w:rFonts w:hint="eastAsia"/>
                <w:szCs w:val="28"/>
              </w:rPr>
              <w:t>、飞灰积存</w:t>
            </w:r>
            <w:r>
              <w:rPr>
                <w:szCs w:val="28"/>
              </w:rPr>
              <w:t>等情况</w:t>
            </w:r>
            <w:r>
              <w:rPr>
                <w:rFonts w:hint="eastAsia"/>
                <w:szCs w:val="28"/>
              </w:rPr>
              <w:t>影响正常飞灰清运</w:t>
            </w:r>
            <w:r>
              <w:rPr>
                <w:szCs w:val="28"/>
              </w:rPr>
              <w:t>，每发现一次扣5分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continue"/>
            <w:vAlign w:val="center"/>
          </w:tcPr>
          <w:p>
            <w:pPr>
              <w:ind w:firstLine="0" w:firstLineChars="0"/>
              <w:jc w:val="center"/>
              <w:rPr>
                <w:szCs w:val="28"/>
              </w:rPr>
            </w:pPr>
          </w:p>
        </w:tc>
        <w:tc>
          <w:tcPr>
            <w:tcW w:w="1339" w:type="dxa"/>
            <w:vAlign w:val="center"/>
          </w:tcPr>
          <w:p>
            <w:pPr>
              <w:ind w:firstLine="0" w:firstLineChars="0"/>
              <w:jc w:val="center"/>
              <w:rPr>
                <w:szCs w:val="28"/>
              </w:rPr>
            </w:pPr>
            <w:r>
              <w:rPr>
                <w:szCs w:val="28"/>
              </w:rPr>
              <w:t>废水管理（2分）</w:t>
            </w:r>
          </w:p>
        </w:tc>
        <w:tc>
          <w:tcPr>
            <w:tcW w:w="4285" w:type="dxa"/>
            <w:vAlign w:val="center"/>
          </w:tcPr>
          <w:p>
            <w:pPr>
              <w:ind w:firstLine="0" w:firstLineChars="0"/>
              <w:jc w:val="left"/>
              <w:rPr>
                <w:szCs w:val="28"/>
              </w:rPr>
            </w:pPr>
            <w:r>
              <w:rPr>
                <w:szCs w:val="28"/>
              </w:rPr>
              <w:t>生产废水(包括炉渣冷却水等生活污水未经妥善处理造成排水管道堵塞或管道下游泥沙淤积的，每发现一次扣1分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tcPr>
          <w:p>
            <w:pPr>
              <w:ind w:firstLine="0" w:firstLineChars="0"/>
              <w:jc w:val="center"/>
              <w:rPr>
                <w:szCs w:val="28"/>
              </w:rPr>
            </w:pPr>
            <w:r>
              <w:rPr>
                <w:rFonts w:hint="eastAsia"/>
                <w:szCs w:val="28"/>
              </w:rPr>
              <w:t>四、应急措施</w:t>
            </w:r>
          </w:p>
        </w:tc>
        <w:tc>
          <w:tcPr>
            <w:tcW w:w="1326" w:type="dxa"/>
            <w:vMerge w:val="restart"/>
            <w:vAlign w:val="center"/>
          </w:tcPr>
          <w:p>
            <w:pPr>
              <w:ind w:firstLine="0" w:firstLineChars="0"/>
              <w:jc w:val="center"/>
              <w:rPr>
                <w:szCs w:val="28"/>
              </w:rPr>
            </w:pPr>
            <w:r>
              <w:rPr>
                <w:szCs w:val="28"/>
              </w:rPr>
              <w:t>应急处置（4分）</w:t>
            </w:r>
          </w:p>
        </w:tc>
        <w:tc>
          <w:tcPr>
            <w:tcW w:w="1339" w:type="dxa"/>
            <w:vAlign w:val="center"/>
          </w:tcPr>
          <w:p>
            <w:pPr>
              <w:ind w:firstLine="0" w:firstLineChars="0"/>
              <w:jc w:val="center"/>
              <w:rPr>
                <w:szCs w:val="28"/>
              </w:rPr>
            </w:pPr>
            <w:r>
              <w:rPr>
                <w:szCs w:val="28"/>
              </w:rPr>
              <w:t>制度建立（2分）</w:t>
            </w:r>
          </w:p>
        </w:tc>
        <w:tc>
          <w:tcPr>
            <w:tcW w:w="4285" w:type="dxa"/>
            <w:vAlign w:val="center"/>
          </w:tcPr>
          <w:p>
            <w:pPr>
              <w:ind w:firstLine="0" w:firstLineChars="0"/>
              <w:jc w:val="left"/>
              <w:rPr>
                <w:szCs w:val="28"/>
              </w:rPr>
            </w:pPr>
            <w:r>
              <w:rPr>
                <w:szCs w:val="28"/>
              </w:rPr>
              <w:t>设置应急预案和配置应急处置设施或措施，建立卫生防护设施的管理和使用规章制度；每处不符合扣0.5分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ind w:firstLine="0" w:firstLineChars="0"/>
              <w:jc w:val="center"/>
              <w:rPr>
                <w:szCs w:val="28"/>
              </w:rPr>
            </w:pPr>
          </w:p>
        </w:tc>
        <w:tc>
          <w:tcPr>
            <w:tcW w:w="1326" w:type="dxa"/>
            <w:vMerge w:val="continue"/>
            <w:vAlign w:val="center"/>
          </w:tcPr>
          <w:p>
            <w:pPr>
              <w:ind w:firstLine="0" w:firstLineChars="0"/>
              <w:jc w:val="center"/>
              <w:rPr>
                <w:szCs w:val="28"/>
              </w:rPr>
            </w:pPr>
          </w:p>
        </w:tc>
        <w:tc>
          <w:tcPr>
            <w:tcW w:w="1339" w:type="dxa"/>
            <w:vAlign w:val="center"/>
          </w:tcPr>
          <w:p>
            <w:pPr>
              <w:ind w:firstLine="0" w:firstLineChars="0"/>
              <w:jc w:val="center"/>
              <w:rPr>
                <w:szCs w:val="28"/>
              </w:rPr>
            </w:pPr>
            <w:r>
              <w:rPr>
                <w:szCs w:val="28"/>
              </w:rPr>
              <w:t>实施情况（2分）</w:t>
            </w:r>
          </w:p>
        </w:tc>
        <w:tc>
          <w:tcPr>
            <w:tcW w:w="4285" w:type="dxa"/>
            <w:vAlign w:val="center"/>
          </w:tcPr>
          <w:p>
            <w:pPr>
              <w:ind w:firstLine="0" w:firstLineChars="0"/>
              <w:jc w:val="left"/>
              <w:rPr>
                <w:szCs w:val="28"/>
              </w:rPr>
            </w:pPr>
            <w:r>
              <w:rPr>
                <w:szCs w:val="28"/>
              </w:rPr>
              <w:t>根据应急预案定期组织演练，根据需要及时启动应急预案并配合主管部门做好垃圾的应急处置工作，如有违反每次扣2分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restart"/>
          </w:tcPr>
          <w:p>
            <w:pPr>
              <w:jc w:val="center"/>
              <w:rPr>
                <w:szCs w:val="28"/>
              </w:rPr>
            </w:pPr>
            <w:r>
              <w:rPr>
                <w:rFonts w:hint="eastAsia"/>
                <w:szCs w:val="28"/>
              </w:rPr>
              <w:t>五、日常管理</w:t>
            </w:r>
          </w:p>
        </w:tc>
        <w:tc>
          <w:tcPr>
            <w:tcW w:w="1326" w:type="dxa"/>
            <w:vAlign w:val="center"/>
          </w:tcPr>
          <w:p>
            <w:pPr>
              <w:ind w:firstLine="0" w:firstLineChars="0"/>
              <w:jc w:val="center"/>
              <w:rPr>
                <w:szCs w:val="28"/>
              </w:rPr>
            </w:pPr>
            <w:r>
              <w:rPr>
                <w:rFonts w:hint="eastAsia"/>
                <w:szCs w:val="28"/>
              </w:rPr>
              <w:t>（一）投诉处置情况</w:t>
            </w:r>
          </w:p>
          <w:p>
            <w:pPr>
              <w:ind w:firstLine="0" w:firstLineChars="0"/>
              <w:jc w:val="center"/>
              <w:rPr>
                <w:szCs w:val="28"/>
              </w:rPr>
            </w:pPr>
            <w:r>
              <w:rPr>
                <w:szCs w:val="28"/>
              </w:rPr>
              <w:t>（8分）</w:t>
            </w:r>
          </w:p>
        </w:tc>
        <w:tc>
          <w:tcPr>
            <w:tcW w:w="1339" w:type="dxa"/>
            <w:vAlign w:val="center"/>
          </w:tcPr>
          <w:p>
            <w:pPr>
              <w:ind w:firstLine="0" w:firstLineChars="0"/>
              <w:jc w:val="center"/>
              <w:rPr>
                <w:szCs w:val="28"/>
              </w:rPr>
            </w:pPr>
            <w:r>
              <w:rPr>
                <w:rFonts w:hint="eastAsia"/>
                <w:szCs w:val="28"/>
              </w:rPr>
              <w:t>投诉处置情况</w:t>
            </w:r>
          </w:p>
          <w:p>
            <w:pPr>
              <w:ind w:firstLine="0" w:firstLineChars="0"/>
              <w:jc w:val="center"/>
              <w:rPr>
                <w:szCs w:val="28"/>
              </w:rPr>
            </w:pPr>
            <w:r>
              <w:rPr>
                <w:szCs w:val="28"/>
              </w:rPr>
              <w:t>（8分）</w:t>
            </w:r>
          </w:p>
        </w:tc>
        <w:tc>
          <w:tcPr>
            <w:tcW w:w="4285" w:type="dxa"/>
            <w:vAlign w:val="center"/>
          </w:tcPr>
          <w:p>
            <w:pPr>
              <w:ind w:firstLine="0" w:firstLineChars="0"/>
              <w:jc w:val="left"/>
              <w:rPr>
                <w:szCs w:val="28"/>
              </w:rPr>
            </w:pPr>
            <w:r>
              <w:rPr>
                <w:szCs w:val="28"/>
              </w:rPr>
              <w:t>及时处置与生活垃圾焚烧厂相关的整改通知、信访、投诉案件，并向监管部门及时反馈处置情况，如有违反每次扣2分；因运营方责任原因造成在媒体曝光、群众投诉并堵路、在市级检查及重大活动检查等中受到批评或扣分，每次扣8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26" w:type="dxa"/>
            <w:vMerge w:val="continue"/>
          </w:tcPr>
          <w:p>
            <w:pPr>
              <w:jc w:val="center"/>
              <w:rPr>
                <w:szCs w:val="28"/>
              </w:rPr>
            </w:pPr>
          </w:p>
        </w:tc>
        <w:tc>
          <w:tcPr>
            <w:tcW w:w="1326" w:type="dxa"/>
            <w:vAlign w:val="center"/>
          </w:tcPr>
          <w:p>
            <w:pPr>
              <w:ind w:firstLine="0" w:firstLineChars="0"/>
              <w:jc w:val="center"/>
              <w:rPr>
                <w:szCs w:val="28"/>
              </w:rPr>
            </w:pPr>
            <w:r>
              <w:rPr>
                <w:rFonts w:hint="eastAsia"/>
                <w:szCs w:val="28"/>
              </w:rPr>
              <w:t>（二）其他</w:t>
            </w:r>
          </w:p>
          <w:p>
            <w:pPr>
              <w:ind w:firstLine="0" w:firstLineChars="0"/>
              <w:jc w:val="center"/>
              <w:rPr>
                <w:szCs w:val="28"/>
              </w:rPr>
            </w:pPr>
            <w:r>
              <w:rPr>
                <w:szCs w:val="28"/>
              </w:rPr>
              <w:t>（2分）</w:t>
            </w:r>
          </w:p>
        </w:tc>
        <w:tc>
          <w:tcPr>
            <w:tcW w:w="1339" w:type="dxa"/>
            <w:vAlign w:val="center"/>
          </w:tcPr>
          <w:p>
            <w:pPr>
              <w:ind w:firstLine="0" w:firstLineChars="0"/>
              <w:jc w:val="center"/>
              <w:rPr>
                <w:szCs w:val="28"/>
              </w:rPr>
            </w:pPr>
            <w:r>
              <w:rPr>
                <w:rFonts w:hint="eastAsia"/>
                <w:szCs w:val="28"/>
              </w:rPr>
              <w:t>其他</w:t>
            </w:r>
          </w:p>
          <w:p>
            <w:pPr>
              <w:ind w:firstLine="0" w:firstLineChars="0"/>
              <w:jc w:val="center"/>
              <w:rPr>
                <w:szCs w:val="28"/>
              </w:rPr>
            </w:pPr>
            <w:r>
              <w:rPr>
                <w:szCs w:val="28"/>
              </w:rPr>
              <w:t>（2分）</w:t>
            </w:r>
          </w:p>
        </w:tc>
        <w:tc>
          <w:tcPr>
            <w:tcW w:w="4285" w:type="dxa"/>
            <w:vAlign w:val="center"/>
          </w:tcPr>
          <w:p>
            <w:pPr>
              <w:ind w:firstLine="0" w:firstLineChars="0"/>
              <w:jc w:val="left"/>
              <w:rPr>
                <w:szCs w:val="28"/>
              </w:rPr>
            </w:pPr>
            <w:r>
              <w:rPr>
                <w:szCs w:val="28"/>
              </w:rPr>
              <w:t>不遵守垃圾处理基地相关管理制度(如宿舍楼管理制度等)，每发现一次扣0.5分</w:t>
            </w:r>
            <w:r>
              <w:rPr>
                <w:rFonts w:hint="eastAsia"/>
              </w:rPr>
              <w:t>。</w:t>
            </w:r>
          </w:p>
        </w:tc>
      </w:tr>
    </w:tbl>
    <w:p>
      <w:pPr>
        <w:pStyle w:val="4"/>
        <w:ind w:left="0" w:firstLine="0" w:firstLineChars="0"/>
        <w:rPr>
          <w:rFonts w:ascii="Calibri" w:hAnsi="Calibri"/>
        </w:rPr>
      </w:pPr>
    </w:p>
    <w:p>
      <w:pPr>
        <w:pStyle w:val="4"/>
        <w:ind w:left="0" w:firstLine="0" w:firstLineChars="0"/>
        <w:rPr>
          <w:rFonts w:ascii="Calibri" w:hAnsi="Calibri"/>
        </w:rPr>
      </w:pPr>
    </w:p>
    <w:p>
      <w:pPr>
        <w:shd w:val="clear" w:color="auto" w:fill="auto"/>
        <w:spacing w:line="240" w:lineRule="auto"/>
        <w:ind w:left="0" w:right="0" w:firstLine="0" w:firstLineChars="0"/>
        <w:jc w:val="left"/>
        <w:rPr>
          <w:rFonts w:ascii="Calibri" w:hAnsi="Calibri" w:cs="宋体"/>
          <w:sz w:val="24"/>
          <w:szCs w:val="24"/>
        </w:rPr>
      </w:pPr>
      <w:r>
        <w:rPr>
          <w:rFonts w:ascii="Calibri" w:hAnsi="Calibri"/>
        </w:rPr>
        <w:br w:type="page"/>
      </w:r>
    </w:p>
    <w:p>
      <w:pPr>
        <w:pStyle w:val="5"/>
        <w:ind w:firstLine="562"/>
        <w:rPr>
          <w:rFonts w:ascii="Calibri" w:hAnsi="Calibri"/>
          <w:color w:val="auto"/>
          <w:sz w:val="28"/>
          <w:szCs w:val="28"/>
        </w:rPr>
      </w:pPr>
      <w:r>
        <w:rPr>
          <w:rFonts w:hint="eastAsia"/>
          <w:sz w:val="28"/>
          <w:szCs w:val="28"/>
        </w:rPr>
        <w:t>表</w:t>
      </w:r>
      <w:r>
        <w:rPr>
          <w:sz w:val="28"/>
          <w:szCs w:val="28"/>
        </w:rPr>
        <w:t>2</w:t>
      </w:r>
      <w:r>
        <w:rPr>
          <w:rFonts w:hint="eastAsia"/>
          <w:sz w:val="28"/>
          <w:szCs w:val="28"/>
        </w:rPr>
        <w:t>：中山市生活垃圾卫生填埋场运营监管评分表</w:t>
      </w:r>
    </w:p>
    <w:tbl>
      <w:tblPr>
        <w:tblStyle w:val="11"/>
        <w:tblW w:w="780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1220"/>
        <w:gridCol w:w="1459"/>
        <w:gridCol w:w="382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Align w:val="center"/>
          </w:tcPr>
          <w:p>
            <w:pPr>
              <w:ind w:firstLine="0" w:firstLineChars="0"/>
              <w:jc w:val="center"/>
              <w:rPr>
                <w:b/>
              </w:rPr>
            </w:pPr>
            <w:r>
              <w:rPr>
                <w:b/>
              </w:rPr>
              <w:t>项目</w:t>
            </w:r>
          </w:p>
        </w:tc>
        <w:tc>
          <w:tcPr>
            <w:tcW w:w="1220" w:type="dxa"/>
            <w:vAlign w:val="center"/>
          </w:tcPr>
          <w:p>
            <w:pPr>
              <w:ind w:firstLine="0" w:firstLineChars="0"/>
              <w:jc w:val="center"/>
              <w:rPr>
                <w:b/>
              </w:rPr>
            </w:pPr>
            <w:r>
              <w:rPr>
                <w:rFonts w:hint="eastAsia"/>
                <w:b/>
              </w:rPr>
              <w:t>类别</w:t>
            </w:r>
          </w:p>
        </w:tc>
        <w:tc>
          <w:tcPr>
            <w:tcW w:w="1459" w:type="dxa"/>
            <w:vAlign w:val="center"/>
          </w:tcPr>
          <w:p>
            <w:pPr>
              <w:ind w:firstLine="0" w:firstLineChars="0"/>
              <w:jc w:val="center"/>
              <w:rPr>
                <w:b/>
              </w:rPr>
            </w:pPr>
            <w:r>
              <w:rPr>
                <w:b/>
              </w:rPr>
              <w:t>考评内容</w:t>
            </w:r>
          </w:p>
        </w:tc>
        <w:tc>
          <w:tcPr>
            <w:tcW w:w="3827" w:type="dxa"/>
            <w:vAlign w:val="center"/>
          </w:tcPr>
          <w:p>
            <w:pPr>
              <w:ind w:firstLine="0" w:firstLineChars="0"/>
              <w:jc w:val="center"/>
              <w:rPr>
                <w:b/>
              </w:rPr>
            </w:pPr>
            <w:r>
              <w:rPr>
                <w:b/>
              </w:rPr>
              <w:t>扣分标准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restart"/>
            <w:vAlign w:val="center"/>
          </w:tcPr>
          <w:p>
            <w:pPr>
              <w:ind w:firstLine="0" w:firstLineChars="0"/>
              <w:jc w:val="center"/>
              <w:rPr>
                <w:b/>
                <w:bCs/>
              </w:rPr>
            </w:pPr>
            <w:r>
              <w:rPr>
                <w:rFonts w:hint="eastAsia"/>
                <w:b/>
                <w:bCs/>
              </w:rPr>
              <w:t>一、运营维护</w:t>
            </w:r>
          </w:p>
        </w:tc>
        <w:tc>
          <w:tcPr>
            <w:tcW w:w="1220" w:type="dxa"/>
            <w:vMerge w:val="restart"/>
            <w:vAlign w:val="center"/>
          </w:tcPr>
          <w:p>
            <w:pPr>
              <w:ind w:firstLine="0" w:firstLineChars="0"/>
              <w:jc w:val="center"/>
            </w:pPr>
            <w:r>
              <w:rPr>
                <w:rFonts w:hint="eastAsia"/>
              </w:rPr>
              <w:t>（一）</w:t>
            </w:r>
            <w:r>
              <w:t>进场垃圾管理</w:t>
            </w:r>
          </w:p>
        </w:tc>
        <w:tc>
          <w:tcPr>
            <w:tcW w:w="1459" w:type="dxa"/>
            <w:vAlign w:val="center"/>
          </w:tcPr>
          <w:p>
            <w:pPr>
              <w:ind w:firstLine="0" w:firstLineChars="0"/>
              <w:jc w:val="center"/>
            </w:pPr>
            <w:r>
              <w:t>进场垃圾控制</w:t>
            </w:r>
          </w:p>
        </w:tc>
        <w:tc>
          <w:tcPr>
            <w:tcW w:w="3827" w:type="dxa"/>
          </w:tcPr>
          <w:p>
            <w:pPr>
              <w:ind w:firstLine="0" w:firstLineChars="0"/>
            </w:pPr>
            <w:r>
              <w:t>擅自让不符合进场规定的垃圾进场处理（</w:t>
            </w:r>
            <w:r>
              <w:rPr>
                <w:rFonts w:hint="eastAsia"/>
              </w:rPr>
              <w:t>甲方</w:t>
            </w:r>
            <w:r>
              <w:t>通知除外），每次扣5分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过磅称重</w:t>
            </w:r>
          </w:p>
        </w:tc>
        <w:tc>
          <w:tcPr>
            <w:tcW w:w="3827" w:type="dxa"/>
          </w:tcPr>
          <w:p>
            <w:pPr>
              <w:ind w:firstLine="0" w:firstLineChars="0"/>
            </w:pPr>
            <w:r>
              <w:t>进场垃圾运输车辆不过磅称重，每辆次扣2分</w:t>
            </w:r>
            <w:r>
              <w:rPr>
                <w:rFonts w:hint="eastAsia"/>
              </w:rPr>
              <w:t>；未按照甲方要求，控制垃圾进场限量的每次扣2分。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1294" w:type="dxa"/>
            <w:vMerge w:val="continue"/>
            <w:vAlign w:val="center"/>
          </w:tcPr>
          <w:p>
            <w:pPr>
              <w:ind w:firstLine="0" w:firstLineChars="0"/>
              <w:jc w:val="center"/>
            </w:pPr>
          </w:p>
        </w:tc>
        <w:tc>
          <w:tcPr>
            <w:tcW w:w="1220" w:type="dxa"/>
            <w:vMerge w:val="restart"/>
            <w:vAlign w:val="center"/>
          </w:tcPr>
          <w:p>
            <w:pPr>
              <w:ind w:firstLine="0" w:firstLineChars="0"/>
              <w:jc w:val="center"/>
            </w:pPr>
            <w:r>
              <w:rPr>
                <w:rFonts w:hint="eastAsia"/>
              </w:rPr>
              <w:t>（二）</w:t>
            </w:r>
          </w:p>
          <w:p>
            <w:pPr>
              <w:ind w:firstLine="0" w:firstLineChars="0"/>
              <w:jc w:val="center"/>
            </w:pPr>
            <w:r>
              <w:t>计量系统</w:t>
            </w:r>
          </w:p>
        </w:tc>
        <w:tc>
          <w:tcPr>
            <w:tcW w:w="1459" w:type="dxa"/>
            <w:vAlign w:val="center"/>
          </w:tcPr>
          <w:p>
            <w:pPr>
              <w:ind w:firstLine="0" w:firstLineChars="0"/>
              <w:jc w:val="center"/>
            </w:pPr>
            <w:r>
              <w:t>年审校验</w:t>
            </w:r>
          </w:p>
        </w:tc>
        <w:tc>
          <w:tcPr>
            <w:tcW w:w="3827" w:type="dxa"/>
          </w:tcPr>
          <w:p>
            <w:pPr>
              <w:ind w:firstLine="0" w:firstLineChars="0"/>
            </w:pPr>
            <w:r>
              <w:t>没有国家技术监督部门出具的年度校验证明，扣2分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运行情况</w:t>
            </w:r>
          </w:p>
        </w:tc>
        <w:tc>
          <w:tcPr>
            <w:tcW w:w="3827" w:type="dxa"/>
          </w:tcPr>
          <w:p>
            <w:pPr>
              <w:ind w:firstLine="0" w:firstLineChars="0"/>
            </w:pPr>
            <w:r>
              <w:t>不使用计量系统或不按规定使用计量系统，每次扣2分；计量系统出现故障超过1天未予维修，每天扣1分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restart"/>
            <w:vAlign w:val="center"/>
          </w:tcPr>
          <w:p>
            <w:pPr>
              <w:ind w:firstLine="0" w:firstLineChars="0"/>
              <w:jc w:val="center"/>
            </w:pPr>
            <w:r>
              <w:rPr>
                <w:rFonts w:hint="eastAsia"/>
              </w:rPr>
              <w:t>（三）</w:t>
            </w:r>
            <w:r>
              <w:t>数据报表</w:t>
            </w:r>
          </w:p>
        </w:tc>
        <w:tc>
          <w:tcPr>
            <w:tcW w:w="1459" w:type="dxa"/>
            <w:vAlign w:val="center"/>
          </w:tcPr>
          <w:p>
            <w:pPr>
              <w:ind w:firstLine="0" w:firstLineChars="0"/>
              <w:jc w:val="center"/>
            </w:pPr>
            <w:r>
              <w:t>报送及时性</w:t>
            </w:r>
          </w:p>
        </w:tc>
        <w:tc>
          <w:tcPr>
            <w:tcW w:w="3827" w:type="dxa"/>
          </w:tcPr>
          <w:p>
            <w:pPr>
              <w:ind w:firstLine="0" w:firstLineChars="0"/>
            </w:pPr>
            <w:r>
              <w:t>不按规定时间上报数据</w:t>
            </w:r>
            <w:r>
              <w:rPr>
                <w:rFonts w:hint="eastAsia"/>
              </w:rPr>
              <w:t>、</w:t>
            </w:r>
            <w:r>
              <w:t>报表</w:t>
            </w:r>
            <w:r>
              <w:rPr>
                <w:rFonts w:hint="eastAsia"/>
              </w:rPr>
              <w:t>、设施、设备维修及填埋计划</w:t>
            </w:r>
            <w:r>
              <w:t>，每次扣2分</w:t>
            </w:r>
            <w:r>
              <w:rPr>
                <w:rFonts w:hint="eastAsia"/>
              </w:rPr>
              <w:t>。没有报送的，每次扣1</w:t>
            </w:r>
            <w:r>
              <w:t>0</w:t>
            </w:r>
            <w:r>
              <w:rPr>
                <w:rFonts w:hint="eastAsia"/>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数据报表准确性</w:t>
            </w:r>
          </w:p>
        </w:tc>
        <w:tc>
          <w:tcPr>
            <w:tcW w:w="3827" w:type="dxa"/>
          </w:tcPr>
          <w:p>
            <w:pPr>
              <w:ind w:firstLine="0" w:firstLineChars="0"/>
            </w:pPr>
            <w:r>
              <w:t>垃圾处理量数据弄虚作假，每次扣5分；报表项目不按要求填报，</w:t>
            </w:r>
            <w:r>
              <w:rPr>
                <w:rFonts w:hint="eastAsia"/>
              </w:rPr>
              <w:t>每项</w:t>
            </w:r>
            <w:r>
              <w:t>每次扣0.5分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原始记录真实性</w:t>
            </w:r>
          </w:p>
        </w:tc>
        <w:tc>
          <w:tcPr>
            <w:tcW w:w="3827" w:type="dxa"/>
          </w:tcPr>
          <w:p>
            <w:pPr>
              <w:ind w:firstLine="0" w:firstLineChars="0"/>
            </w:pPr>
            <w:r>
              <w:t>称重计算机系统没有保留原始称重记录，每次扣2分；不按要求填写三联单，每次扣1分；三联单与计算机记录数据不一致，每次扣1分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rPr>
                <w:rFonts w:hint="eastAsia"/>
              </w:rPr>
              <w:t>监管联系单的执行性</w:t>
            </w:r>
          </w:p>
        </w:tc>
        <w:tc>
          <w:tcPr>
            <w:tcW w:w="3827" w:type="dxa"/>
          </w:tcPr>
          <w:p>
            <w:pPr>
              <w:ind w:firstLine="0" w:firstLineChars="0"/>
            </w:pPr>
            <w:r>
              <w:rPr>
                <w:rFonts w:hint="eastAsia"/>
              </w:rPr>
              <w:t>监管联系单未按要求回复和整改的，</w:t>
            </w:r>
            <w:r>
              <w:rPr>
                <w:rFonts w:hint="eastAsia"/>
                <w:lang w:eastAsia="zh-CN"/>
              </w:rPr>
              <w:t>经市生活垃圾处理管理中心确认，</w:t>
            </w:r>
            <w:r>
              <w:rPr>
                <w:rFonts w:hint="eastAsia"/>
              </w:rPr>
              <w:t>每次扣</w:t>
            </w:r>
            <w:r>
              <w:t>2</w:t>
            </w:r>
            <w:r>
              <w:rPr>
                <w:rFonts w:hint="eastAsia"/>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restart"/>
            <w:vAlign w:val="center"/>
          </w:tcPr>
          <w:p>
            <w:pPr>
              <w:ind w:firstLine="0" w:firstLineChars="0"/>
              <w:jc w:val="center"/>
            </w:pPr>
          </w:p>
          <w:p>
            <w:pPr>
              <w:ind w:firstLine="0" w:firstLineChars="0"/>
              <w:jc w:val="center"/>
            </w:pPr>
            <w:r>
              <w:rPr>
                <w:rFonts w:hint="eastAsia"/>
              </w:rPr>
              <w:t>（四）</w:t>
            </w:r>
            <w:r>
              <w:t>填埋作业</w:t>
            </w:r>
          </w:p>
        </w:tc>
        <w:tc>
          <w:tcPr>
            <w:tcW w:w="1459" w:type="dxa"/>
            <w:vAlign w:val="center"/>
          </w:tcPr>
          <w:p>
            <w:pPr>
              <w:ind w:firstLine="0" w:firstLineChars="0"/>
              <w:jc w:val="center"/>
            </w:pPr>
            <w:r>
              <w:t>分区单元作业</w:t>
            </w:r>
          </w:p>
        </w:tc>
        <w:tc>
          <w:tcPr>
            <w:tcW w:w="3827" w:type="dxa"/>
          </w:tcPr>
          <w:p>
            <w:pPr>
              <w:ind w:firstLine="0" w:firstLineChars="0"/>
            </w:pPr>
            <w:r>
              <w:t>未分区单元作业填埋或每单元垃圾填埋厚度非2-4米，每次扣1分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rPr>
                <w:rFonts w:hint="eastAsia"/>
              </w:rPr>
              <w:t>雨污分流</w:t>
            </w:r>
          </w:p>
        </w:tc>
        <w:tc>
          <w:tcPr>
            <w:tcW w:w="3827" w:type="dxa"/>
          </w:tcPr>
          <w:p>
            <w:pPr>
              <w:ind w:firstLine="0" w:firstLineChars="0"/>
            </w:pPr>
            <w:r>
              <w:rPr>
                <w:rFonts w:hint="eastAsia"/>
              </w:rPr>
              <w:t>未实施雨污分流，或雨污分流达不到甲方要求的，每宗扣5-</w:t>
            </w:r>
            <w:r>
              <w:t>20</w:t>
            </w:r>
            <w:r>
              <w:rPr>
                <w:rFonts w:hint="eastAsia"/>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作业面积</w:t>
            </w:r>
          </w:p>
        </w:tc>
        <w:tc>
          <w:tcPr>
            <w:tcW w:w="3827" w:type="dxa"/>
          </w:tcPr>
          <w:p>
            <w:pPr>
              <w:ind w:firstLine="0" w:firstLineChars="0"/>
            </w:pPr>
            <w:r>
              <w:t>填埋作业面积不得超过2000米</w:t>
            </w:r>
            <w:r>
              <w:rPr>
                <w:vertAlign w:val="superscript"/>
              </w:rPr>
              <w:t>2</w:t>
            </w:r>
            <w:r>
              <w:t>，否则每超1000米</w:t>
            </w:r>
            <w:r>
              <w:rPr>
                <w:vertAlign w:val="superscript"/>
              </w:rPr>
              <w:t>2</w:t>
            </w:r>
            <w:r>
              <w:t>扣1分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覆盖</w:t>
            </w:r>
          </w:p>
        </w:tc>
        <w:tc>
          <w:tcPr>
            <w:tcW w:w="3827" w:type="dxa"/>
          </w:tcPr>
          <w:p>
            <w:pPr>
              <w:ind w:firstLine="0" w:firstLineChars="0"/>
            </w:pPr>
            <w:r>
              <w:t>每日填埋作业完毕后，用PVC或HDPE膜临时覆盖；每一区域作业完毕，用HDPE膜覆盖。不符合此要求的，每次扣1分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堆体边坡</w:t>
            </w:r>
          </w:p>
        </w:tc>
        <w:tc>
          <w:tcPr>
            <w:tcW w:w="3827" w:type="dxa"/>
          </w:tcPr>
          <w:p>
            <w:pPr>
              <w:ind w:firstLine="0" w:firstLineChars="0"/>
            </w:pPr>
            <w:r>
              <w:t>填埋作业区边坡膜需用轮胎内填充小卵石或用沙袋进行防护，堆体边坡不大于1:3，终场边坡及时覆盖。不符合此要求的，每次扣1分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沼气导</w:t>
            </w:r>
          </w:p>
          <w:p>
            <w:pPr>
              <w:ind w:firstLine="0" w:firstLineChars="0"/>
              <w:jc w:val="center"/>
            </w:pPr>
            <w:r>
              <w:t>排管</w:t>
            </w:r>
          </w:p>
        </w:tc>
        <w:tc>
          <w:tcPr>
            <w:tcW w:w="3827" w:type="dxa"/>
          </w:tcPr>
          <w:p>
            <w:pPr>
              <w:ind w:firstLine="0" w:firstLineChars="0"/>
            </w:pPr>
            <w:r>
              <w:t>填埋气体导排管应随垃圾堆体高度的增加而加高，定期清除管内积水、杂物，保持管道畅通，不符合此要求的</w:t>
            </w:r>
            <w:r>
              <w:rPr>
                <w:rFonts w:hint="eastAsia"/>
              </w:rPr>
              <w:t>，</w:t>
            </w:r>
            <w:r>
              <w:t>每次扣</w:t>
            </w:r>
            <w:r>
              <w:rPr>
                <w:rFonts w:hint="eastAsia"/>
              </w:rPr>
              <w:t>0</w:t>
            </w:r>
            <w:r>
              <w:t>.5分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飘散垃圾控制</w:t>
            </w:r>
          </w:p>
        </w:tc>
        <w:tc>
          <w:tcPr>
            <w:tcW w:w="3827" w:type="dxa"/>
          </w:tcPr>
          <w:p>
            <w:pPr>
              <w:ind w:firstLine="0" w:firstLineChars="0"/>
            </w:pPr>
            <w:r>
              <w:rPr>
                <w:rFonts w:hint="eastAsia"/>
                <w:lang w:eastAsia="zh-CN"/>
              </w:rPr>
              <w:t>飘</w:t>
            </w:r>
            <w:r>
              <w:t>浮垃圾防护网破损超过</w:t>
            </w:r>
            <w:r>
              <w:rPr>
                <w:rFonts w:hint="eastAsia"/>
              </w:rPr>
              <w:t>1</w:t>
            </w:r>
            <w:r>
              <w:t>天不进行修复，每天扣1分</w:t>
            </w:r>
            <w:r>
              <w:rPr>
                <w:rFonts w:hint="eastAsia"/>
              </w:rPr>
              <w:t>；场</w:t>
            </w:r>
            <w:r>
              <w:t>区周围飘散垃圾超过两处，每处扣0.5分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虫害控制</w:t>
            </w:r>
          </w:p>
        </w:tc>
        <w:tc>
          <w:tcPr>
            <w:tcW w:w="3827" w:type="dxa"/>
          </w:tcPr>
          <w:p>
            <w:pPr>
              <w:ind w:firstLine="0" w:firstLineChars="0"/>
            </w:pPr>
            <w:r>
              <w:t>厂区内蚊、蝇多于6只每处扣0.5分；发现有鼠类活动，每处扣0.5分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防雷系统</w:t>
            </w:r>
          </w:p>
        </w:tc>
        <w:tc>
          <w:tcPr>
            <w:tcW w:w="3827" w:type="dxa"/>
          </w:tcPr>
          <w:p>
            <w:pPr>
              <w:ind w:firstLine="0" w:firstLineChars="0"/>
            </w:pPr>
            <w:r>
              <w:t>防雷系统每年请防雷监管部门检测和审验1次，不符合此要求的扣1分，</w:t>
            </w:r>
            <w:r>
              <w:rPr>
                <w:rFonts w:hint="eastAsia"/>
              </w:rPr>
              <w:t>未随垃圾堆体</w:t>
            </w:r>
            <w:r>
              <w:t>的变化而移动的，每次扣0.5分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restart"/>
            <w:vAlign w:val="center"/>
          </w:tcPr>
          <w:p>
            <w:pPr>
              <w:ind w:firstLine="0" w:firstLineChars="0"/>
              <w:jc w:val="center"/>
            </w:pPr>
            <w:r>
              <w:rPr>
                <w:rFonts w:hint="eastAsia"/>
              </w:rPr>
              <w:t>（五）</w:t>
            </w:r>
            <w:r>
              <w:t>设施设备</w:t>
            </w:r>
          </w:p>
        </w:tc>
        <w:tc>
          <w:tcPr>
            <w:tcW w:w="1459" w:type="dxa"/>
            <w:vAlign w:val="center"/>
          </w:tcPr>
          <w:p>
            <w:pPr>
              <w:ind w:firstLine="0" w:firstLineChars="0"/>
              <w:jc w:val="center"/>
            </w:pPr>
            <w:r>
              <w:t>用途</w:t>
            </w:r>
          </w:p>
        </w:tc>
        <w:tc>
          <w:tcPr>
            <w:tcW w:w="3827" w:type="dxa"/>
          </w:tcPr>
          <w:p>
            <w:pPr>
              <w:ind w:firstLine="0" w:firstLineChars="0"/>
            </w:pPr>
            <w:r>
              <w:t>擅自将设施设备用于填埋场运营以外的其它用途，每台次扣10分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维护保养</w:t>
            </w:r>
          </w:p>
        </w:tc>
        <w:tc>
          <w:tcPr>
            <w:tcW w:w="3827" w:type="dxa"/>
          </w:tcPr>
          <w:p>
            <w:pPr>
              <w:ind w:firstLine="0" w:firstLineChars="0"/>
            </w:pPr>
            <w:r>
              <w:t>不按要求对设施设备进行维护保养，每台次扣1分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t>完好情况</w:t>
            </w:r>
          </w:p>
        </w:tc>
        <w:tc>
          <w:tcPr>
            <w:tcW w:w="3827" w:type="dxa"/>
          </w:tcPr>
          <w:p>
            <w:pPr>
              <w:ind w:firstLine="0" w:firstLineChars="0"/>
            </w:pPr>
            <w:r>
              <w:t>设施设备应能正常启动或使用（移交时不能正常启动和使用的除外），不符合此要求的，每台次扣5分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Align w:val="center"/>
          </w:tcPr>
          <w:p>
            <w:pPr>
              <w:ind w:firstLine="0" w:firstLineChars="0"/>
              <w:jc w:val="center"/>
            </w:pPr>
            <w:r>
              <w:rPr>
                <w:rFonts w:hint="eastAsia"/>
              </w:rPr>
              <w:t>（六）</w:t>
            </w:r>
            <w:r>
              <w:t>集液井及调节池（含浮盖）</w:t>
            </w:r>
          </w:p>
        </w:tc>
        <w:tc>
          <w:tcPr>
            <w:tcW w:w="1459" w:type="dxa"/>
            <w:vAlign w:val="center"/>
          </w:tcPr>
          <w:p>
            <w:pPr>
              <w:ind w:firstLine="0" w:firstLineChars="0"/>
              <w:jc w:val="center"/>
            </w:pPr>
            <w:r>
              <w:t>维护管理</w:t>
            </w:r>
          </w:p>
        </w:tc>
        <w:tc>
          <w:tcPr>
            <w:tcW w:w="3827" w:type="dxa"/>
          </w:tcPr>
          <w:p>
            <w:pPr>
              <w:ind w:firstLine="0" w:firstLineChars="0"/>
            </w:pPr>
            <w:r>
              <w:t>不按要求定期对集液井阀门进行养护导致不能正常使用，每次扣5分，集液井及调节池（含浮盖）脏乱，每次扣1分；不及时抽排集液井积水和调节池浮盖表面水、填埋场覆盖膜表面水，每次扣1分。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Align w:val="center"/>
          </w:tcPr>
          <w:p>
            <w:pPr>
              <w:ind w:firstLine="0" w:firstLineChars="0"/>
              <w:jc w:val="center"/>
            </w:pPr>
            <w:r>
              <w:rPr>
                <w:rFonts w:hint="eastAsia"/>
              </w:rPr>
              <w:t>二、安全生产</w:t>
            </w:r>
          </w:p>
        </w:tc>
        <w:tc>
          <w:tcPr>
            <w:tcW w:w="1220" w:type="dxa"/>
            <w:vAlign w:val="center"/>
          </w:tcPr>
          <w:p>
            <w:pPr>
              <w:ind w:firstLine="0" w:firstLineChars="0"/>
              <w:jc w:val="center"/>
            </w:pPr>
            <w:r>
              <w:t>安全生产</w:t>
            </w:r>
          </w:p>
        </w:tc>
        <w:tc>
          <w:tcPr>
            <w:tcW w:w="1459" w:type="dxa"/>
            <w:vAlign w:val="center"/>
          </w:tcPr>
          <w:p>
            <w:pPr>
              <w:ind w:firstLine="0" w:firstLineChars="0"/>
              <w:jc w:val="center"/>
            </w:pPr>
            <w:r>
              <w:t>安全生产</w:t>
            </w:r>
          </w:p>
        </w:tc>
        <w:tc>
          <w:tcPr>
            <w:tcW w:w="3827" w:type="dxa"/>
          </w:tcPr>
          <w:p>
            <w:pPr>
              <w:ind w:firstLine="0" w:firstLineChars="0"/>
            </w:pPr>
            <w:r>
              <w:t>安全措施不健全、不落实或发现事故隐患不及时进行整改，每次扣2</w:t>
            </w:r>
            <w:r>
              <w:rPr>
                <w:rFonts w:hint="eastAsia"/>
              </w:rPr>
              <w:t>-</w:t>
            </w:r>
            <w:r>
              <w:t>10分</w:t>
            </w:r>
            <w:r>
              <w:rPr>
                <w:rFonts w:hint="eastAsia"/>
              </w:rPr>
              <w:t>；</w:t>
            </w:r>
            <w:r>
              <w:t>由于违规作业造成安全事故，视情节轻重，每宗扣5-20分；隐瞒事故</w:t>
            </w:r>
            <w:r>
              <w:rPr>
                <w:rFonts w:hint="eastAsia"/>
              </w:rPr>
              <w:t>，</w:t>
            </w:r>
            <w:r>
              <w:t>每宗扣20分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1294" w:type="dxa"/>
            <w:vAlign w:val="center"/>
          </w:tcPr>
          <w:p>
            <w:pPr>
              <w:ind w:firstLine="0" w:firstLineChars="0"/>
              <w:jc w:val="center"/>
            </w:pPr>
            <w:r>
              <w:rPr>
                <w:rFonts w:hint="eastAsia"/>
              </w:rPr>
              <w:t>三、环保措施</w:t>
            </w:r>
          </w:p>
        </w:tc>
        <w:tc>
          <w:tcPr>
            <w:tcW w:w="1220" w:type="dxa"/>
            <w:vAlign w:val="center"/>
          </w:tcPr>
          <w:p>
            <w:pPr>
              <w:ind w:firstLine="0" w:firstLineChars="0"/>
              <w:jc w:val="center"/>
            </w:pPr>
            <w:r>
              <w:t>环境监测</w:t>
            </w:r>
          </w:p>
        </w:tc>
        <w:tc>
          <w:tcPr>
            <w:tcW w:w="1459" w:type="dxa"/>
            <w:vAlign w:val="center"/>
          </w:tcPr>
          <w:p>
            <w:pPr>
              <w:ind w:firstLine="0" w:firstLineChars="0"/>
              <w:jc w:val="center"/>
            </w:pPr>
            <w:r>
              <w:t>监测数据</w:t>
            </w:r>
          </w:p>
        </w:tc>
        <w:tc>
          <w:tcPr>
            <w:tcW w:w="3827" w:type="dxa"/>
          </w:tcPr>
          <w:p>
            <w:pPr>
              <w:ind w:firstLine="0" w:firstLineChars="0"/>
            </w:pPr>
            <w:r>
              <w:t>不按规定频率、要求进行环境监测，每次扣1分；监测数据弄虚作假，每次扣5分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restart"/>
            <w:vAlign w:val="center"/>
          </w:tcPr>
          <w:p>
            <w:pPr>
              <w:ind w:firstLine="0" w:firstLineChars="0"/>
              <w:jc w:val="center"/>
            </w:pPr>
            <w:r>
              <w:rPr>
                <w:rFonts w:hint="eastAsia"/>
              </w:rPr>
              <w:t>四、应急措施</w:t>
            </w:r>
          </w:p>
        </w:tc>
        <w:tc>
          <w:tcPr>
            <w:tcW w:w="1220" w:type="dxa"/>
            <w:vMerge w:val="restart"/>
            <w:vAlign w:val="center"/>
          </w:tcPr>
          <w:p>
            <w:pPr>
              <w:ind w:firstLine="0" w:firstLineChars="0"/>
              <w:jc w:val="center"/>
            </w:pPr>
            <w:r>
              <w:rPr>
                <w:szCs w:val="28"/>
              </w:rPr>
              <w:t>应急处置</w:t>
            </w:r>
          </w:p>
        </w:tc>
        <w:tc>
          <w:tcPr>
            <w:tcW w:w="1459" w:type="dxa"/>
            <w:vAlign w:val="center"/>
          </w:tcPr>
          <w:p>
            <w:pPr>
              <w:ind w:firstLine="0" w:firstLineChars="0"/>
              <w:jc w:val="center"/>
            </w:pPr>
            <w:r>
              <w:rPr>
                <w:szCs w:val="28"/>
              </w:rPr>
              <w:t>制度建立</w:t>
            </w:r>
          </w:p>
        </w:tc>
        <w:tc>
          <w:tcPr>
            <w:tcW w:w="3827" w:type="dxa"/>
            <w:vAlign w:val="center"/>
          </w:tcPr>
          <w:p>
            <w:pPr>
              <w:ind w:firstLine="0" w:firstLineChars="0"/>
            </w:pPr>
            <w:r>
              <w:rPr>
                <w:szCs w:val="28"/>
              </w:rPr>
              <w:t>设置应急预案和配置应急处置设施或措施，建立卫生防护设施的管理和使用规章制度；每处不符合扣0.5分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Merge w:val="continue"/>
            <w:vAlign w:val="center"/>
          </w:tcPr>
          <w:p>
            <w:pPr>
              <w:ind w:firstLine="0" w:firstLineChars="0"/>
              <w:jc w:val="center"/>
            </w:pPr>
          </w:p>
        </w:tc>
        <w:tc>
          <w:tcPr>
            <w:tcW w:w="1459" w:type="dxa"/>
            <w:vAlign w:val="center"/>
          </w:tcPr>
          <w:p>
            <w:pPr>
              <w:ind w:firstLine="0" w:firstLineChars="0"/>
              <w:jc w:val="center"/>
            </w:pPr>
            <w:r>
              <w:rPr>
                <w:szCs w:val="28"/>
              </w:rPr>
              <w:t>实施情况</w:t>
            </w:r>
          </w:p>
        </w:tc>
        <w:tc>
          <w:tcPr>
            <w:tcW w:w="3827" w:type="dxa"/>
            <w:vAlign w:val="center"/>
          </w:tcPr>
          <w:p>
            <w:pPr>
              <w:ind w:firstLine="0" w:firstLineChars="0"/>
            </w:pPr>
            <w:r>
              <w:rPr>
                <w:szCs w:val="28"/>
              </w:rPr>
              <w:t>根据应急预案定期组织演练，根据需要及时启动应急预案并配合主管部门做好垃圾的应急处置工作，如有违反每次扣2分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restart"/>
            <w:vAlign w:val="center"/>
          </w:tcPr>
          <w:p>
            <w:pPr>
              <w:ind w:firstLine="0" w:firstLineChars="0"/>
              <w:jc w:val="center"/>
            </w:pPr>
            <w:r>
              <w:rPr>
                <w:rFonts w:hint="eastAsia"/>
              </w:rPr>
              <w:t>五、日常管理</w:t>
            </w:r>
          </w:p>
        </w:tc>
        <w:tc>
          <w:tcPr>
            <w:tcW w:w="1220" w:type="dxa"/>
            <w:vAlign w:val="center"/>
          </w:tcPr>
          <w:p>
            <w:pPr>
              <w:ind w:firstLine="0" w:firstLineChars="0"/>
              <w:jc w:val="center"/>
              <w:rPr>
                <w:szCs w:val="28"/>
              </w:rPr>
            </w:pPr>
            <w:r>
              <w:rPr>
                <w:rFonts w:hint="eastAsia"/>
                <w:szCs w:val="28"/>
              </w:rPr>
              <w:t>（一）基地制度遵守情况</w:t>
            </w:r>
          </w:p>
        </w:tc>
        <w:tc>
          <w:tcPr>
            <w:tcW w:w="1459" w:type="dxa"/>
            <w:vAlign w:val="center"/>
          </w:tcPr>
          <w:p>
            <w:pPr>
              <w:ind w:firstLine="0" w:firstLineChars="0"/>
              <w:jc w:val="center"/>
              <w:rPr>
                <w:szCs w:val="28"/>
              </w:rPr>
            </w:pPr>
            <w:r>
              <w:rPr>
                <w:rFonts w:hint="eastAsia"/>
                <w:szCs w:val="28"/>
              </w:rPr>
              <w:t>基地制度遵守情况</w:t>
            </w:r>
          </w:p>
          <w:p>
            <w:pPr>
              <w:ind w:firstLine="0" w:firstLineChars="0"/>
              <w:jc w:val="center"/>
            </w:pPr>
          </w:p>
        </w:tc>
        <w:tc>
          <w:tcPr>
            <w:tcW w:w="3827" w:type="dxa"/>
            <w:vAlign w:val="center"/>
          </w:tcPr>
          <w:p>
            <w:pPr>
              <w:ind w:firstLine="0" w:firstLineChars="0"/>
            </w:pPr>
            <w:r>
              <w:rPr>
                <w:szCs w:val="28"/>
              </w:rPr>
              <w:t>不遵守垃圾处理基地相关管理制度(如</w:t>
            </w:r>
            <w:r>
              <w:rPr>
                <w:rFonts w:hint="eastAsia"/>
                <w:szCs w:val="28"/>
              </w:rPr>
              <w:t>参加监管例会、整改联系单落实、接受相关检查、遵守</w:t>
            </w:r>
            <w:r>
              <w:rPr>
                <w:szCs w:val="28"/>
              </w:rPr>
              <w:t>宿舍楼管理制度等)，每发现一次扣0.5分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1294" w:type="dxa"/>
            <w:vMerge w:val="continue"/>
            <w:vAlign w:val="center"/>
          </w:tcPr>
          <w:p>
            <w:pPr>
              <w:ind w:firstLine="0" w:firstLineChars="0"/>
              <w:jc w:val="center"/>
            </w:pPr>
          </w:p>
        </w:tc>
        <w:tc>
          <w:tcPr>
            <w:tcW w:w="1220" w:type="dxa"/>
            <w:vAlign w:val="center"/>
          </w:tcPr>
          <w:p>
            <w:pPr>
              <w:ind w:firstLine="0" w:firstLineChars="0"/>
              <w:jc w:val="center"/>
            </w:pPr>
            <w:r>
              <w:rPr>
                <w:rFonts w:hint="eastAsia"/>
                <w:szCs w:val="28"/>
              </w:rPr>
              <w:t>（二）投诉处置情况</w:t>
            </w:r>
          </w:p>
        </w:tc>
        <w:tc>
          <w:tcPr>
            <w:tcW w:w="1459" w:type="dxa"/>
            <w:vAlign w:val="center"/>
          </w:tcPr>
          <w:p>
            <w:pPr>
              <w:ind w:firstLine="0" w:firstLineChars="0"/>
              <w:jc w:val="center"/>
            </w:pPr>
            <w:r>
              <w:rPr>
                <w:rFonts w:hint="eastAsia"/>
                <w:szCs w:val="28"/>
              </w:rPr>
              <w:t>投诉处置情况</w:t>
            </w:r>
          </w:p>
        </w:tc>
        <w:tc>
          <w:tcPr>
            <w:tcW w:w="3827" w:type="dxa"/>
            <w:vAlign w:val="center"/>
          </w:tcPr>
          <w:p>
            <w:pPr>
              <w:ind w:firstLine="0" w:firstLineChars="0"/>
            </w:pPr>
            <w:r>
              <w:rPr>
                <w:szCs w:val="28"/>
              </w:rPr>
              <w:t>及时处置与</w:t>
            </w:r>
            <w:r>
              <w:rPr>
                <w:rFonts w:hint="eastAsia"/>
                <w:szCs w:val="28"/>
              </w:rPr>
              <w:t>卫生填埋场</w:t>
            </w:r>
            <w:r>
              <w:rPr>
                <w:szCs w:val="28"/>
              </w:rPr>
              <w:t>相关的整改通知、信访、投诉案件，并向监管部门及时反馈处置情况，如有违反每次扣2分；因运营方责任原因造成在媒体曝光、群众投诉并堵路、在市级检查及重大活动检查等中受到批评或扣分，每次扣</w:t>
            </w:r>
            <w:r>
              <w:rPr>
                <w:rFonts w:hint="eastAsia"/>
                <w:szCs w:val="28"/>
              </w:rPr>
              <w:t>10</w:t>
            </w:r>
            <w:r>
              <w:rPr>
                <w:szCs w:val="28"/>
              </w:rPr>
              <w:t>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4" w:type="dxa"/>
            <w:vMerge w:val="continue"/>
            <w:vAlign w:val="center"/>
          </w:tcPr>
          <w:p>
            <w:pPr>
              <w:ind w:firstLine="0" w:firstLineChars="0"/>
              <w:jc w:val="center"/>
            </w:pPr>
          </w:p>
        </w:tc>
        <w:tc>
          <w:tcPr>
            <w:tcW w:w="1220" w:type="dxa"/>
            <w:vAlign w:val="center"/>
          </w:tcPr>
          <w:p>
            <w:pPr>
              <w:ind w:firstLine="0" w:firstLineChars="0"/>
              <w:jc w:val="center"/>
            </w:pPr>
            <w:r>
              <w:rPr>
                <w:rFonts w:hint="eastAsia"/>
              </w:rPr>
              <w:t>（三）</w:t>
            </w:r>
            <w:r>
              <w:t>环境卫生</w:t>
            </w:r>
          </w:p>
        </w:tc>
        <w:tc>
          <w:tcPr>
            <w:tcW w:w="1459" w:type="dxa"/>
            <w:vAlign w:val="center"/>
          </w:tcPr>
          <w:p>
            <w:pPr>
              <w:ind w:firstLine="0" w:firstLineChars="0"/>
              <w:jc w:val="center"/>
            </w:pPr>
            <w:r>
              <w:t>环境卫生</w:t>
            </w:r>
          </w:p>
        </w:tc>
        <w:tc>
          <w:tcPr>
            <w:tcW w:w="3827" w:type="dxa"/>
          </w:tcPr>
          <w:p>
            <w:pPr>
              <w:ind w:firstLine="0" w:firstLineChars="0"/>
            </w:pPr>
            <w:r>
              <w:t>填埋作业区内有人捡拾废品，每次扣5分；排水沟堵塞不及时清疏，每次扣1分；场区路面有散落垃圾或溢流污水，每次扣1分</w:t>
            </w:r>
            <w:r>
              <w:rPr>
                <w:rFonts w:hint="eastAsia"/>
              </w:rPr>
              <w:t>。</w:t>
            </w:r>
          </w:p>
        </w:tc>
      </w:tr>
    </w:tbl>
    <w:p>
      <w:pPr>
        <w:pStyle w:val="4"/>
        <w:ind w:left="0" w:firstLine="0" w:firstLineChars="0"/>
        <w:rPr>
          <w:rFonts w:ascii="Calibri" w:hAnsi="Calibri"/>
        </w:rPr>
      </w:pPr>
    </w:p>
    <w:p>
      <w:pPr>
        <w:shd w:val="clear" w:color="auto" w:fill="auto"/>
        <w:spacing w:line="240" w:lineRule="auto"/>
        <w:ind w:left="0" w:right="0" w:firstLine="0" w:firstLineChars="0"/>
        <w:jc w:val="left"/>
        <w:rPr>
          <w:rFonts w:ascii="Calibri" w:hAnsi="Calibri" w:cs="宋体"/>
          <w:sz w:val="24"/>
          <w:szCs w:val="24"/>
        </w:rPr>
      </w:pPr>
      <w:r>
        <w:rPr>
          <w:rFonts w:ascii="Calibri" w:hAnsi="Calibri"/>
        </w:rPr>
        <w:br w:type="page"/>
      </w:r>
    </w:p>
    <w:p>
      <w:pPr>
        <w:pStyle w:val="5"/>
        <w:ind w:firstLine="562"/>
        <w:jc w:val="center"/>
        <w:rPr>
          <w:rFonts w:ascii="Calibri" w:hAnsi="Calibri"/>
          <w:color w:val="auto"/>
          <w:sz w:val="28"/>
          <w:szCs w:val="28"/>
        </w:rPr>
      </w:pPr>
      <w:r>
        <w:rPr>
          <w:rFonts w:hint="eastAsia"/>
          <w:sz w:val="28"/>
          <w:szCs w:val="28"/>
        </w:rPr>
        <w:t>表</w:t>
      </w:r>
      <w:r>
        <w:rPr>
          <w:sz w:val="28"/>
          <w:szCs w:val="28"/>
        </w:rPr>
        <w:t>3</w:t>
      </w:r>
      <w:r>
        <w:rPr>
          <w:rFonts w:hint="eastAsia"/>
          <w:sz w:val="28"/>
          <w:szCs w:val="28"/>
        </w:rPr>
        <w:t>：中山市污水处理厂运营监管评分表</w:t>
      </w:r>
    </w:p>
    <w:tbl>
      <w:tblPr>
        <w:tblStyle w:val="11"/>
        <w:tblW w:w="8443" w:type="dxa"/>
        <w:tblInd w:w="-1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417"/>
        <w:gridCol w:w="1559"/>
        <w:gridCol w:w="4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Borders>
              <w:top w:val="single" w:color="auto" w:sz="12" w:space="0"/>
              <w:left w:val="single" w:color="auto" w:sz="12" w:space="0"/>
            </w:tcBorders>
            <w:vAlign w:val="center"/>
          </w:tcPr>
          <w:p>
            <w:pPr>
              <w:ind w:firstLine="0" w:firstLineChars="0"/>
              <w:jc w:val="center"/>
              <w:rPr>
                <w:b/>
              </w:rPr>
            </w:pPr>
            <w:r>
              <w:rPr>
                <w:b/>
              </w:rPr>
              <w:t>项目</w:t>
            </w:r>
          </w:p>
        </w:tc>
        <w:tc>
          <w:tcPr>
            <w:tcW w:w="1417" w:type="dxa"/>
            <w:tcBorders>
              <w:top w:val="single" w:color="auto" w:sz="12" w:space="0"/>
            </w:tcBorders>
            <w:vAlign w:val="center"/>
          </w:tcPr>
          <w:p>
            <w:pPr>
              <w:ind w:firstLine="0" w:firstLineChars="0"/>
              <w:jc w:val="center"/>
              <w:rPr>
                <w:b/>
              </w:rPr>
            </w:pPr>
            <w:r>
              <w:rPr>
                <w:rFonts w:hint="eastAsia"/>
                <w:b/>
              </w:rPr>
              <w:t>类别</w:t>
            </w:r>
          </w:p>
        </w:tc>
        <w:tc>
          <w:tcPr>
            <w:tcW w:w="1559" w:type="dxa"/>
            <w:tcBorders>
              <w:top w:val="single" w:color="auto" w:sz="12" w:space="0"/>
            </w:tcBorders>
            <w:vAlign w:val="center"/>
          </w:tcPr>
          <w:p>
            <w:pPr>
              <w:ind w:firstLine="0" w:firstLineChars="0"/>
              <w:jc w:val="center"/>
              <w:rPr>
                <w:b/>
              </w:rPr>
            </w:pPr>
            <w:r>
              <w:rPr>
                <w:b/>
              </w:rPr>
              <w:t>考评内容</w:t>
            </w:r>
          </w:p>
        </w:tc>
        <w:tc>
          <w:tcPr>
            <w:tcW w:w="4332" w:type="dxa"/>
            <w:tcBorders>
              <w:top w:val="single" w:color="auto" w:sz="12" w:space="0"/>
            </w:tcBorders>
            <w:vAlign w:val="center"/>
          </w:tcPr>
          <w:p>
            <w:pPr>
              <w:ind w:firstLine="0" w:firstLineChars="0"/>
              <w:jc w:val="center"/>
              <w:rPr>
                <w:b/>
              </w:rPr>
            </w:pPr>
            <w:r>
              <w:rPr>
                <w:b/>
              </w:rPr>
              <w:t>扣分标准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restart"/>
            <w:tcBorders>
              <w:left w:val="single" w:color="auto" w:sz="12" w:space="0"/>
            </w:tcBorders>
            <w:vAlign w:val="center"/>
          </w:tcPr>
          <w:p>
            <w:pPr>
              <w:ind w:firstLine="0" w:firstLineChars="0"/>
              <w:jc w:val="center"/>
              <w:rPr>
                <w:b/>
              </w:rPr>
            </w:pPr>
            <w:r>
              <w:rPr>
                <w:rFonts w:hint="eastAsia"/>
                <w:b/>
              </w:rPr>
              <w:t>一、</w:t>
            </w:r>
            <w:r>
              <w:rPr>
                <w:b/>
              </w:rPr>
              <w:t>运行</w:t>
            </w:r>
            <w:r>
              <w:rPr>
                <w:rFonts w:hint="eastAsia"/>
                <w:b/>
              </w:rPr>
              <w:t>维护</w:t>
            </w:r>
          </w:p>
        </w:tc>
        <w:tc>
          <w:tcPr>
            <w:tcW w:w="1417" w:type="dxa"/>
            <w:vMerge w:val="restart"/>
            <w:vAlign w:val="center"/>
          </w:tcPr>
          <w:p>
            <w:pPr>
              <w:ind w:firstLine="0" w:firstLineChars="0"/>
              <w:jc w:val="center"/>
            </w:pPr>
            <w:r>
              <w:rPr>
                <w:rFonts w:hint="eastAsia"/>
              </w:rPr>
              <w:t>（一）计量管理</w:t>
            </w:r>
          </w:p>
          <w:p>
            <w:pPr>
              <w:ind w:firstLine="0" w:firstLineChars="0"/>
              <w:jc w:val="center"/>
            </w:pPr>
            <w:r>
              <w:rPr>
                <w:rFonts w:hint="eastAsia"/>
              </w:rPr>
              <w:t>（1</w:t>
            </w:r>
            <w:r>
              <w:t>0</w:t>
            </w:r>
            <w:r>
              <w:rPr>
                <w:rFonts w:hint="eastAsia"/>
              </w:rPr>
              <w:t>分）</w:t>
            </w:r>
          </w:p>
        </w:tc>
        <w:tc>
          <w:tcPr>
            <w:tcW w:w="1559" w:type="dxa"/>
            <w:vAlign w:val="center"/>
          </w:tcPr>
          <w:p>
            <w:pPr>
              <w:ind w:firstLine="0" w:firstLineChars="0"/>
              <w:jc w:val="center"/>
            </w:pPr>
            <w:r>
              <w:t>达标处理量（5分）</w:t>
            </w:r>
          </w:p>
        </w:tc>
        <w:tc>
          <w:tcPr>
            <w:tcW w:w="4332" w:type="dxa"/>
            <w:vAlign w:val="center"/>
          </w:tcPr>
          <w:p>
            <w:pPr>
              <w:ind w:firstLine="0" w:firstLineChars="0"/>
              <w:jc w:val="left"/>
            </w:pPr>
            <w:r>
              <w:t>因运营方原因，渗滤液达标处理量达不到运营协议约定且造成调节池满溢的，本项计0分；未定期对计量系统的准确性进行校准检查的，每次扣2分；在计量设备或数据上弄虚作假的，本项计0分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left w:val="single" w:color="auto" w:sz="12" w:space="0"/>
            </w:tcBorders>
            <w:vAlign w:val="center"/>
          </w:tcPr>
          <w:p>
            <w:pPr>
              <w:ind w:firstLine="0" w:firstLineChars="0"/>
              <w:jc w:val="center"/>
              <w:rPr>
                <w:b/>
              </w:rPr>
            </w:pPr>
          </w:p>
        </w:tc>
        <w:tc>
          <w:tcPr>
            <w:tcW w:w="1417" w:type="dxa"/>
            <w:vMerge w:val="continue"/>
            <w:vAlign w:val="center"/>
          </w:tcPr>
          <w:p>
            <w:pPr>
              <w:ind w:firstLine="0" w:firstLineChars="0"/>
              <w:jc w:val="center"/>
            </w:pPr>
          </w:p>
        </w:tc>
        <w:tc>
          <w:tcPr>
            <w:tcW w:w="1559" w:type="dxa"/>
            <w:vAlign w:val="center"/>
          </w:tcPr>
          <w:p>
            <w:pPr>
              <w:ind w:firstLine="0" w:firstLineChars="0"/>
              <w:jc w:val="center"/>
            </w:pPr>
            <w:r>
              <w:t>运营报告（5分）</w:t>
            </w:r>
          </w:p>
        </w:tc>
        <w:tc>
          <w:tcPr>
            <w:tcW w:w="4332" w:type="dxa"/>
            <w:vAlign w:val="center"/>
          </w:tcPr>
          <w:p>
            <w:pPr>
              <w:ind w:firstLine="0" w:firstLineChars="0"/>
              <w:jc w:val="left"/>
            </w:pPr>
            <w:r>
              <w:t>按时按要求提交生产（安全）月报表、年度生产运营计划和年度运营报告，得满分；超过5天仍未能提供生产（安全）月报表、年度生产运营计划和年度运行报告其中一项，本项得0分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5" w:type="dxa"/>
            <w:vMerge w:val="continue"/>
            <w:tcBorders>
              <w:left w:val="single" w:color="auto" w:sz="12" w:space="0"/>
            </w:tcBorders>
            <w:vAlign w:val="center"/>
          </w:tcPr>
          <w:p>
            <w:pPr>
              <w:ind w:firstLine="0" w:firstLineChars="0"/>
              <w:jc w:val="center"/>
              <w:rPr>
                <w:b/>
              </w:rPr>
            </w:pPr>
          </w:p>
        </w:tc>
        <w:tc>
          <w:tcPr>
            <w:tcW w:w="1417" w:type="dxa"/>
            <w:vMerge w:val="restart"/>
            <w:vAlign w:val="center"/>
          </w:tcPr>
          <w:p>
            <w:pPr>
              <w:ind w:firstLine="0" w:firstLineChars="0"/>
              <w:jc w:val="center"/>
            </w:pPr>
            <w:r>
              <w:rPr>
                <w:rFonts w:hint="eastAsia"/>
              </w:rPr>
              <w:t>（二）设备运行维护</w:t>
            </w:r>
          </w:p>
          <w:p>
            <w:pPr>
              <w:ind w:firstLine="0" w:firstLineChars="0"/>
              <w:jc w:val="center"/>
            </w:pPr>
            <w:r>
              <w:rPr>
                <w:rFonts w:hint="eastAsia"/>
              </w:rPr>
              <w:t>（1</w:t>
            </w:r>
            <w:r>
              <w:t>0</w:t>
            </w:r>
            <w:r>
              <w:rPr>
                <w:rFonts w:hint="eastAsia"/>
              </w:rPr>
              <w:t>分）</w:t>
            </w:r>
          </w:p>
        </w:tc>
        <w:tc>
          <w:tcPr>
            <w:tcW w:w="1559" w:type="dxa"/>
            <w:vAlign w:val="center"/>
          </w:tcPr>
          <w:p>
            <w:pPr>
              <w:ind w:firstLine="0" w:firstLineChars="0"/>
              <w:jc w:val="center"/>
            </w:pPr>
            <w:r>
              <w:t>设备完好率（5分）</w:t>
            </w:r>
          </w:p>
        </w:tc>
        <w:tc>
          <w:tcPr>
            <w:tcW w:w="4332" w:type="dxa"/>
            <w:vAlign w:val="center"/>
          </w:tcPr>
          <w:p>
            <w:pPr>
              <w:ind w:firstLine="0" w:firstLineChars="0"/>
              <w:jc w:val="left"/>
            </w:pPr>
            <w:r>
              <w:t>主要设施、设备完好率达到1</w:t>
            </w:r>
            <w:r>
              <w:rPr>
                <w:rFonts w:hint="eastAsia"/>
              </w:rPr>
              <w:t>0</w:t>
            </w:r>
            <w:r>
              <w:t>0%；</w:t>
            </w:r>
          </w:p>
          <w:p>
            <w:pPr>
              <w:ind w:firstLine="0" w:firstLineChars="0"/>
              <w:jc w:val="left"/>
            </w:pPr>
            <w:r>
              <w:t>螺栓齐全牢固；油漆良好无锈蚀；设备无腐蚀，润滑充分；仪器仪表准确灵敏；附属设备工作正常；整机运行平稳可靠；使用高效节能设备；设施设备的油箱、水泵、管道等无跑、冒</w:t>
            </w:r>
            <w:r>
              <w:rPr>
                <w:rFonts w:hint="eastAsia"/>
              </w:rPr>
              <w:t>、</w:t>
            </w:r>
            <w:r>
              <w:t>滴、漏现象；</w:t>
            </w:r>
            <w:r>
              <w:rPr>
                <w:rFonts w:hint="eastAsia"/>
              </w:rPr>
              <w:t>未按要求及时处理</w:t>
            </w:r>
            <w:r>
              <w:t>，</w:t>
            </w:r>
            <w:r>
              <w:rPr>
                <w:rFonts w:hint="eastAsia"/>
              </w:rPr>
              <w:t>每发现一处</w:t>
            </w:r>
            <w:r>
              <w:t>扣1分，扣完为止</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left w:val="single" w:color="auto" w:sz="12" w:space="0"/>
            </w:tcBorders>
            <w:vAlign w:val="center"/>
          </w:tcPr>
          <w:p>
            <w:pPr>
              <w:ind w:firstLine="0" w:firstLineChars="0"/>
              <w:jc w:val="center"/>
              <w:rPr>
                <w:b/>
              </w:rPr>
            </w:pPr>
          </w:p>
        </w:tc>
        <w:tc>
          <w:tcPr>
            <w:tcW w:w="1417" w:type="dxa"/>
            <w:vMerge w:val="continue"/>
            <w:vAlign w:val="center"/>
          </w:tcPr>
          <w:p>
            <w:pPr>
              <w:ind w:firstLine="0" w:firstLineChars="0"/>
              <w:jc w:val="center"/>
            </w:pPr>
          </w:p>
        </w:tc>
        <w:tc>
          <w:tcPr>
            <w:tcW w:w="1559" w:type="dxa"/>
            <w:vAlign w:val="center"/>
          </w:tcPr>
          <w:p>
            <w:pPr>
              <w:ind w:firstLine="0" w:firstLineChars="0"/>
              <w:jc w:val="center"/>
            </w:pPr>
            <w:r>
              <w:t>维修与停运（5分）</w:t>
            </w:r>
          </w:p>
        </w:tc>
        <w:tc>
          <w:tcPr>
            <w:tcW w:w="4332" w:type="dxa"/>
            <w:vAlign w:val="center"/>
          </w:tcPr>
          <w:p>
            <w:pPr>
              <w:ind w:firstLine="0" w:firstLineChars="0"/>
              <w:jc w:val="left"/>
            </w:pPr>
            <w:r>
              <w:t>应定期按计划进行设施设备的维护保养工作，当出现故障影响运行时，应及时书面通知监管方并预计恢复正常生产的时间，如有违反每次扣2分；在未经主管部门审批通过的情况下，擅自整体不运行或部分关键设备不运行的，计0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left w:val="single" w:color="auto" w:sz="12" w:space="0"/>
            </w:tcBorders>
            <w:vAlign w:val="center"/>
          </w:tcPr>
          <w:p>
            <w:pPr>
              <w:ind w:firstLine="0" w:firstLineChars="0"/>
              <w:jc w:val="center"/>
              <w:rPr>
                <w:b/>
              </w:rPr>
            </w:pPr>
          </w:p>
        </w:tc>
        <w:tc>
          <w:tcPr>
            <w:tcW w:w="1417" w:type="dxa"/>
            <w:vMerge w:val="restart"/>
            <w:vAlign w:val="center"/>
          </w:tcPr>
          <w:p>
            <w:pPr>
              <w:ind w:firstLine="0" w:firstLineChars="0"/>
              <w:jc w:val="center"/>
            </w:pPr>
            <w:r>
              <w:rPr>
                <w:rFonts w:hint="eastAsia"/>
              </w:rPr>
              <w:t>（三）化验分析</w:t>
            </w:r>
          </w:p>
          <w:p>
            <w:pPr>
              <w:ind w:firstLine="0" w:firstLineChars="0"/>
              <w:jc w:val="center"/>
            </w:pPr>
            <w:r>
              <w:rPr>
                <w:rFonts w:hint="eastAsia"/>
              </w:rPr>
              <w:t>（1</w:t>
            </w:r>
            <w:r>
              <w:t>0</w:t>
            </w:r>
            <w:r>
              <w:rPr>
                <w:rFonts w:hint="eastAsia"/>
              </w:rPr>
              <w:t>分）</w:t>
            </w:r>
          </w:p>
        </w:tc>
        <w:tc>
          <w:tcPr>
            <w:tcW w:w="1559" w:type="dxa"/>
            <w:vAlign w:val="center"/>
          </w:tcPr>
          <w:p>
            <w:pPr>
              <w:ind w:firstLine="0" w:firstLineChars="0"/>
              <w:jc w:val="center"/>
            </w:pPr>
            <w:r>
              <w:t>化验室</w:t>
            </w:r>
          </w:p>
          <w:p>
            <w:pPr>
              <w:ind w:firstLine="0" w:firstLineChars="0"/>
              <w:jc w:val="center"/>
            </w:pPr>
            <w:r>
              <w:t>（2分）</w:t>
            </w:r>
          </w:p>
        </w:tc>
        <w:tc>
          <w:tcPr>
            <w:tcW w:w="4332" w:type="dxa"/>
            <w:vAlign w:val="center"/>
          </w:tcPr>
          <w:p>
            <w:pPr>
              <w:ind w:firstLine="0" w:firstLineChars="0"/>
              <w:jc w:val="left"/>
            </w:pPr>
            <w:r>
              <w:t>有独立的房间、合理的设施与设备配置，每发现一处不符合要求，扣2分，扣完为止</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left w:val="single" w:color="auto" w:sz="12" w:space="0"/>
            </w:tcBorders>
            <w:vAlign w:val="center"/>
          </w:tcPr>
          <w:p>
            <w:pPr>
              <w:ind w:firstLine="0" w:firstLineChars="0"/>
              <w:jc w:val="center"/>
              <w:rPr>
                <w:b/>
              </w:rPr>
            </w:pPr>
          </w:p>
        </w:tc>
        <w:tc>
          <w:tcPr>
            <w:tcW w:w="1417" w:type="dxa"/>
            <w:vMerge w:val="continue"/>
            <w:vAlign w:val="center"/>
          </w:tcPr>
          <w:p>
            <w:pPr>
              <w:ind w:firstLine="0" w:firstLineChars="0"/>
              <w:jc w:val="center"/>
            </w:pPr>
          </w:p>
        </w:tc>
        <w:tc>
          <w:tcPr>
            <w:tcW w:w="1559" w:type="dxa"/>
            <w:vAlign w:val="center"/>
          </w:tcPr>
          <w:p>
            <w:pPr>
              <w:ind w:firstLine="0" w:firstLineChars="0"/>
              <w:jc w:val="center"/>
            </w:pPr>
            <w:r>
              <w:t>日常检测</w:t>
            </w:r>
          </w:p>
          <w:p>
            <w:pPr>
              <w:ind w:firstLine="0" w:firstLineChars="0"/>
              <w:jc w:val="center"/>
            </w:pPr>
            <w:r>
              <w:t>（2分）</w:t>
            </w:r>
          </w:p>
        </w:tc>
        <w:tc>
          <w:tcPr>
            <w:tcW w:w="4332" w:type="dxa"/>
            <w:vAlign w:val="center"/>
          </w:tcPr>
          <w:p>
            <w:pPr>
              <w:ind w:firstLine="0" w:firstLineChars="0"/>
              <w:jc w:val="left"/>
            </w:pPr>
            <w:r>
              <w:t>按规范要求制定化验检测分析项目及频次计划、按此计划和采用国家或行业标准检验分析方法实施日常检测，每发现一处不符合要求，扣1分，扣完为止</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5" w:type="dxa"/>
            <w:vMerge w:val="continue"/>
            <w:tcBorders>
              <w:left w:val="single" w:color="auto" w:sz="12" w:space="0"/>
            </w:tcBorders>
            <w:vAlign w:val="center"/>
          </w:tcPr>
          <w:p>
            <w:pPr>
              <w:ind w:firstLine="0" w:firstLineChars="0"/>
              <w:jc w:val="center"/>
              <w:rPr>
                <w:b/>
              </w:rPr>
            </w:pPr>
          </w:p>
        </w:tc>
        <w:tc>
          <w:tcPr>
            <w:tcW w:w="1417" w:type="dxa"/>
            <w:vMerge w:val="continue"/>
            <w:vAlign w:val="center"/>
          </w:tcPr>
          <w:p>
            <w:pPr>
              <w:ind w:firstLine="0" w:firstLineChars="0"/>
              <w:jc w:val="center"/>
            </w:pPr>
          </w:p>
        </w:tc>
        <w:tc>
          <w:tcPr>
            <w:tcW w:w="1559" w:type="dxa"/>
            <w:vAlign w:val="center"/>
          </w:tcPr>
          <w:p>
            <w:pPr>
              <w:ind w:firstLine="0" w:firstLineChars="0"/>
              <w:jc w:val="center"/>
            </w:pPr>
            <w:r>
              <w:t>化验分析</w:t>
            </w:r>
          </w:p>
          <w:p>
            <w:pPr>
              <w:ind w:firstLine="0" w:firstLineChars="0"/>
              <w:jc w:val="center"/>
            </w:pPr>
            <w:r>
              <w:t>仪器</w:t>
            </w:r>
          </w:p>
          <w:p>
            <w:pPr>
              <w:ind w:firstLine="0" w:firstLineChars="0"/>
              <w:jc w:val="center"/>
            </w:pPr>
            <w:r>
              <w:t>（2分）</w:t>
            </w:r>
          </w:p>
        </w:tc>
        <w:tc>
          <w:tcPr>
            <w:tcW w:w="4332" w:type="dxa"/>
            <w:vAlign w:val="center"/>
          </w:tcPr>
          <w:p>
            <w:pPr>
              <w:ind w:firstLine="0" w:firstLineChars="0"/>
              <w:jc w:val="left"/>
            </w:pPr>
            <w:r>
              <w:t>应配备常规检测仪器，常规项缺1项扣1分，扣完为止；仪器已配备但不能正常工作，</w:t>
            </w:r>
            <w:r>
              <w:rPr>
                <w:rFonts w:hint="eastAsia"/>
              </w:rPr>
              <w:t>未及时处理的，</w:t>
            </w:r>
            <w:r>
              <w:t>常规项缺1项扣1分，扣完为止</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left w:val="single" w:color="auto" w:sz="12" w:space="0"/>
            </w:tcBorders>
            <w:vAlign w:val="center"/>
          </w:tcPr>
          <w:p>
            <w:pPr>
              <w:ind w:firstLine="0" w:firstLineChars="0"/>
              <w:jc w:val="center"/>
              <w:rPr>
                <w:b/>
              </w:rPr>
            </w:pPr>
          </w:p>
        </w:tc>
        <w:tc>
          <w:tcPr>
            <w:tcW w:w="1417" w:type="dxa"/>
            <w:vMerge w:val="continue"/>
            <w:vAlign w:val="center"/>
          </w:tcPr>
          <w:p>
            <w:pPr>
              <w:ind w:firstLine="0" w:firstLineChars="0"/>
              <w:jc w:val="center"/>
            </w:pPr>
          </w:p>
        </w:tc>
        <w:tc>
          <w:tcPr>
            <w:tcW w:w="1559" w:type="dxa"/>
            <w:vAlign w:val="center"/>
          </w:tcPr>
          <w:p>
            <w:pPr>
              <w:ind w:firstLine="0" w:firstLineChars="0"/>
              <w:jc w:val="center"/>
            </w:pPr>
            <w:r>
              <w:t>药品管理</w:t>
            </w:r>
          </w:p>
          <w:p>
            <w:pPr>
              <w:ind w:firstLine="0" w:firstLineChars="0"/>
              <w:jc w:val="center"/>
            </w:pPr>
            <w:r>
              <w:t>（2分）</w:t>
            </w:r>
          </w:p>
        </w:tc>
        <w:tc>
          <w:tcPr>
            <w:tcW w:w="4332" w:type="dxa"/>
            <w:vAlign w:val="center"/>
          </w:tcPr>
          <w:p>
            <w:pPr>
              <w:ind w:firstLine="0" w:firstLineChars="0"/>
              <w:jc w:val="left"/>
            </w:pPr>
            <w:r>
              <w:t>无药品管理制度扣1分；无专人负责药品管理扣1分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left w:val="single" w:color="auto" w:sz="12" w:space="0"/>
            </w:tcBorders>
            <w:vAlign w:val="center"/>
          </w:tcPr>
          <w:p>
            <w:pPr>
              <w:ind w:firstLine="0" w:firstLineChars="0"/>
              <w:jc w:val="center"/>
              <w:rPr>
                <w:b/>
              </w:rPr>
            </w:pPr>
          </w:p>
        </w:tc>
        <w:tc>
          <w:tcPr>
            <w:tcW w:w="1417" w:type="dxa"/>
            <w:vMerge w:val="continue"/>
            <w:vAlign w:val="center"/>
          </w:tcPr>
          <w:p>
            <w:pPr>
              <w:ind w:firstLine="0" w:firstLineChars="0"/>
              <w:jc w:val="center"/>
            </w:pPr>
          </w:p>
        </w:tc>
        <w:tc>
          <w:tcPr>
            <w:tcW w:w="1559" w:type="dxa"/>
            <w:vAlign w:val="center"/>
          </w:tcPr>
          <w:p>
            <w:pPr>
              <w:ind w:firstLine="0" w:firstLineChars="0"/>
              <w:jc w:val="center"/>
            </w:pPr>
            <w:r>
              <w:t>化验室环境（2分）</w:t>
            </w:r>
          </w:p>
        </w:tc>
        <w:tc>
          <w:tcPr>
            <w:tcW w:w="4332" w:type="dxa"/>
            <w:vAlign w:val="center"/>
          </w:tcPr>
          <w:p>
            <w:pPr>
              <w:ind w:firstLine="0" w:firstLineChars="0"/>
              <w:jc w:val="left"/>
            </w:pPr>
            <w:r>
              <w:t>化验室的工作环境未保持清洁有序扣1分；化验完成后未及时做好整理清洁工作，扣1分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Borders>
              <w:left w:val="single" w:color="auto" w:sz="12" w:space="0"/>
            </w:tcBorders>
            <w:vAlign w:val="center"/>
          </w:tcPr>
          <w:p>
            <w:pPr>
              <w:ind w:firstLine="0" w:firstLineChars="0"/>
              <w:jc w:val="center"/>
              <w:rPr>
                <w:b/>
              </w:rPr>
            </w:pPr>
            <w:r>
              <w:rPr>
                <w:rFonts w:hint="eastAsia"/>
                <w:b/>
              </w:rPr>
              <w:t>二、安全管理</w:t>
            </w:r>
          </w:p>
        </w:tc>
        <w:tc>
          <w:tcPr>
            <w:tcW w:w="1417" w:type="dxa"/>
            <w:vAlign w:val="center"/>
          </w:tcPr>
          <w:p>
            <w:pPr>
              <w:ind w:firstLine="0" w:firstLineChars="0"/>
              <w:jc w:val="center"/>
            </w:pPr>
            <w:r>
              <w:t>安全管理</w:t>
            </w:r>
          </w:p>
          <w:p>
            <w:pPr>
              <w:ind w:firstLine="0" w:firstLineChars="0"/>
              <w:jc w:val="center"/>
            </w:pPr>
            <w:r>
              <w:rPr>
                <w:rFonts w:hint="eastAsia"/>
              </w:rPr>
              <w:t>（1</w:t>
            </w:r>
            <w:r>
              <w:t>0</w:t>
            </w:r>
            <w:r>
              <w:rPr>
                <w:rFonts w:hint="eastAsia"/>
              </w:rPr>
              <w:t>分）</w:t>
            </w:r>
          </w:p>
        </w:tc>
        <w:tc>
          <w:tcPr>
            <w:tcW w:w="1559" w:type="dxa"/>
            <w:vAlign w:val="center"/>
          </w:tcPr>
          <w:p>
            <w:pPr>
              <w:ind w:firstLine="0" w:firstLineChars="0"/>
              <w:jc w:val="center"/>
            </w:pPr>
            <w:r>
              <w:t>安全管理（10分）</w:t>
            </w:r>
          </w:p>
        </w:tc>
        <w:tc>
          <w:tcPr>
            <w:tcW w:w="4332" w:type="dxa"/>
            <w:vAlign w:val="center"/>
          </w:tcPr>
          <w:p>
            <w:pPr>
              <w:ind w:firstLine="0" w:firstLineChars="0"/>
              <w:jc w:val="left"/>
            </w:pPr>
            <w:r>
              <w:t>制定齐全、详细的安全规章制度及操作规程；发现安全隐患有积极的响应措施、并能及时解决；任一项不符合要求，扣1分。</w:t>
            </w:r>
          </w:p>
          <w:p>
            <w:pPr>
              <w:ind w:firstLine="0" w:firstLineChars="0"/>
              <w:jc w:val="left"/>
            </w:pPr>
            <w:r>
              <w:t>未定期检查和更换安全防护用品，扣1分；未配备急救物品，扣1分。由于违规作业造成安全事故，视情节轻重，每宗扣2-10分；隐瞒事故，每宗扣10分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5" w:type="dxa"/>
            <w:vMerge w:val="restart"/>
            <w:tcBorders>
              <w:left w:val="single" w:color="auto" w:sz="12" w:space="0"/>
            </w:tcBorders>
            <w:vAlign w:val="center"/>
          </w:tcPr>
          <w:p>
            <w:pPr>
              <w:ind w:firstLine="0" w:firstLineChars="0"/>
              <w:jc w:val="center"/>
              <w:rPr>
                <w:b/>
              </w:rPr>
            </w:pPr>
            <w:r>
              <w:rPr>
                <w:rFonts w:hint="eastAsia"/>
                <w:b/>
              </w:rPr>
              <w:t>三、环保措施</w:t>
            </w:r>
          </w:p>
        </w:tc>
        <w:tc>
          <w:tcPr>
            <w:tcW w:w="1417" w:type="dxa"/>
            <w:vMerge w:val="restart"/>
            <w:vAlign w:val="center"/>
          </w:tcPr>
          <w:p>
            <w:pPr>
              <w:ind w:firstLine="0" w:firstLineChars="0"/>
              <w:jc w:val="center"/>
            </w:pPr>
            <w:r>
              <w:rPr>
                <w:rFonts w:hint="eastAsia"/>
              </w:rPr>
              <w:t>（一）</w:t>
            </w:r>
          </w:p>
          <w:p>
            <w:pPr>
              <w:ind w:firstLine="0" w:firstLineChars="0"/>
              <w:jc w:val="center"/>
            </w:pPr>
            <w:r>
              <w:rPr>
                <w:rFonts w:hint="eastAsia"/>
              </w:rPr>
              <w:t>检测管理</w:t>
            </w:r>
          </w:p>
          <w:p>
            <w:pPr>
              <w:ind w:firstLine="0" w:firstLineChars="0"/>
              <w:jc w:val="center"/>
            </w:pPr>
            <w:r>
              <w:rPr>
                <w:rFonts w:hint="eastAsia"/>
              </w:rPr>
              <w:t>（2</w:t>
            </w:r>
            <w:r>
              <w:t>5</w:t>
            </w:r>
            <w:r>
              <w:rPr>
                <w:rFonts w:hint="eastAsia"/>
              </w:rPr>
              <w:t>分）</w:t>
            </w:r>
          </w:p>
        </w:tc>
        <w:tc>
          <w:tcPr>
            <w:tcW w:w="1559" w:type="dxa"/>
            <w:vAlign w:val="center"/>
          </w:tcPr>
          <w:p>
            <w:pPr>
              <w:ind w:firstLine="0" w:firstLineChars="0"/>
              <w:jc w:val="center"/>
            </w:pPr>
            <w:r>
              <w:t>污染物检测（20分）</w:t>
            </w:r>
          </w:p>
        </w:tc>
        <w:tc>
          <w:tcPr>
            <w:tcW w:w="4332" w:type="dxa"/>
            <w:vAlign w:val="center"/>
          </w:tcPr>
          <w:p>
            <w:pPr>
              <w:ind w:firstLine="0" w:firstLineChars="0"/>
              <w:jc w:val="left"/>
            </w:pPr>
            <w:r>
              <w:t>污染物排放检测报告全面达标，记满分；排放污染物浓度指标超标，发现一项指标超标扣10分，发现两项计0分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left w:val="single" w:color="auto" w:sz="12" w:space="0"/>
            </w:tcBorders>
            <w:vAlign w:val="center"/>
          </w:tcPr>
          <w:p>
            <w:pPr>
              <w:ind w:firstLine="0" w:firstLineChars="0"/>
              <w:jc w:val="center"/>
              <w:rPr>
                <w:b/>
              </w:rPr>
            </w:pPr>
          </w:p>
        </w:tc>
        <w:tc>
          <w:tcPr>
            <w:tcW w:w="1417" w:type="dxa"/>
            <w:vMerge w:val="continue"/>
            <w:vAlign w:val="center"/>
          </w:tcPr>
          <w:p>
            <w:pPr>
              <w:ind w:firstLine="0" w:firstLineChars="0"/>
              <w:jc w:val="center"/>
            </w:pPr>
          </w:p>
        </w:tc>
        <w:tc>
          <w:tcPr>
            <w:tcW w:w="1559" w:type="dxa"/>
            <w:vAlign w:val="center"/>
          </w:tcPr>
          <w:p>
            <w:pPr>
              <w:ind w:firstLine="0" w:firstLineChars="0"/>
              <w:jc w:val="center"/>
            </w:pPr>
            <w:r>
              <w:t>在线监控</w:t>
            </w:r>
          </w:p>
          <w:p>
            <w:pPr>
              <w:ind w:firstLine="0" w:firstLineChars="0"/>
              <w:jc w:val="center"/>
            </w:pPr>
            <w:r>
              <w:t>（5分）</w:t>
            </w:r>
          </w:p>
        </w:tc>
        <w:tc>
          <w:tcPr>
            <w:tcW w:w="4332" w:type="dxa"/>
            <w:vAlign w:val="center"/>
          </w:tcPr>
          <w:p>
            <w:pPr>
              <w:ind w:firstLine="0" w:firstLineChars="0"/>
              <w:jc w:val="left"/>
            </w:pPr>
            <w:r>
              <w:t>未安装出水在线监控、在线监控未与环保或主管部门联网，不得分；显示不正常且未及时维修，扣3分；所抽查在线监控记录数据有指标超标的，扣5分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left w:val="single" w:color="auto" w:sz="12" w:space="0"/>
            </w:tcBorders>
            <w:vAlign w:val="center"/>
          </w:tcPr>
          <w:p>
            <w:pPr>
              <w:ind w:firstLine="0" w:firstLineChars="0"/>
              <w:jc w:val="center"/>
              <w:rPr>
                <w:b/>
              </w:rPr>
            </w:pPr>
          </w:p>
        </w:tc>
        <w:tc>
          <w:tcPr>
            <w:tcW w:w="1417" w:type="dxa"/>
            <w:vMerge w:val="restart"/>
            <w:vAlign w:val="center"/>
          </w:tcPr>
          <w:p>
            <w:pPr>
              <w:ind w:firstLine="0" w:firstLineChars="0"/>
              <w:jc w:val="center"/>
            </w:pPr>
            <w:r>
              <w:rPr>
                <w:rFonts w:hint="eastAsia"/>
              </w:rPr>
              <w:t>（二）</w:t>
            </w:r>
          </w:p>
          <w:p>
            <w:pPr>
              <w:ind w:firstLine="0" w:firstLineChars="0"/>
              <w:jc w:val="center"/>
            </w:pPr>
            <w:r>
              <w:rPr>
                <w:rFonts w:hint="eastAsia"/>
              </w:rPr>
              <w:t>废物处置（1</w:t>
            </w:r>
            <w:r>
              <w:t>3</w:t>
            </w:r>
            <w:r>
              <w:rPr>
                <w:rFonts w:hint="eastAsia"/>
              </w:rPr>
              <w:t>分）</w:t>
            </w:r>
          </w:p>
        </w:tc>
        <w:tc>
          <w:tcPr>
            <w:tcW w:w="1559" w:type="dxa"/>
            <w:vAlign w:val="center"/>
          </w:tcPr>
          <w:p>
            <w:pPr>
              <w:ind w:firstLine="0" w:firstLineChars="0"/>
              <w:jc w:val="center"/>
            </w:pPr>
            <w:r>
              <w:t>污泥处置</w:t>
            </w:r>
          </w:p>
          <w:p>
            <w:pPr>
              <w:ind w:firstLine="0" w:firstLineChars="0"/>
              <w:jc w:val="center"/>
            </w:pPr>
            <w:r>
              <w:t>（3分）</w:t>
            </w:r>
          </w:p>
        </w:tc>
        <w:tc>
          <w:tcPr>
            <w:tcW w:w="4332" w:type="dxa"/>
            <w:vAlign w:val="center"/>
          </w:tcPr>
          <w:p>
            <w:pPr>
              <w:ind w:firstLine="0" w:firstLineChars="0"/>
              <w:jc w:val="left"/>
            </w:pPr>
            <w:r>
              <w:t>污泥安全处置率100%得满分；脱水后污泥含水率一次不达标，扣1分，扣完为止；污泥未安全处置，造成二次污染的，本项计0分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left w:val="single" w:color="auto" w:sz="12" w:space="0"/>
            </w:tcBorders>
            <w:vAlign w:val="center"/>
          </w:tcPr>
          <w:p>
            <w:pPr>
              <w:ind w:firstLine="0" w:firstLineChars="0"/>
              <w:jc w:val="center"/>
              <w:rPr>
                <w:b/>
              </w:rPr>
            </w:pPr>
          </w:p>
        </w:tc>
        <w:tc>
          <w:tcPr>
            <w:tcW w:w="1417" w:type="dxa"/>
            <w:vMerge w:val="continue"/>
            <w:vAlign w:val="center"/>
          </w:tcPr>
          <w:p>
            <w:pPr>
              <w:ind w:firstLine="0" w:firstLineChars="0"/>
              <w:jc w:val="center"/>
            </w:pPr>
          </w:p>
        </w:tc>
        <w:tc>
          <w:tcPr>
            <w:tcW w:w="1559" w:type="dxa"/>
            <w:vAlign w:val="center"/>
          </w:tcPr>
          <w:p>
            <w:pPr>
              <w:ind w:firstLine="0" w:firstLineChars="0"/>
              <w:jc w:val="center"/>
            </w:pPr>
            <w:r>
              <w:t>危险废物</w:t>
            </w:r>
          </w:p>
          <w:p>
            <w:pPr>
              <w:ind w:firstLine="0" w:firstLineChars="0"/>
              <w:jc w:val="center"/>
            </w:pPr>
            <w:r>
              <w:t>控制</w:t>
            </w:r>
          </w:p>
          <w:p>
            <w:pPr>
              <w:ind w:firstLine="0" w:firstLineChars="0"/>
              <w:jc w:val="center"/>
            </w:pPr>
            <w:r>
              <w:t>（10分）</w:t>
            </w:r>
          </w:p>
        </w:tc>
        <w:tc>
          <w:tcPr>
            <w:tcW w:w="4332" w:type="dxa"/>
            <w:vAlign w:val="center"/>
          </w:tcPr>
          <w:p>
            <w:pPr>
              <w:ind w:firstLine="0" w:firstLineChars="0"/>
              <w:jc w:val="left"/>
            </w:pPr>
            <w:r>
              <w:t>渗滤液在厂内输送、处理全程中没有保持密封状态，造成渗滤液溢漏的，扣10分。渗滤液未经处理直接排放，扣10分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5" w:type="dxa"/>
            <w:vMerge w:val="continue"/>
            <w:tcBorders>
              <w:left w:val="single" w:color="auto" w:sz="12" w:space="0"/>
            </w:tcBorders>
            <w:vAlign w:val="center"/>
          </w:tcPr>
          <w:p>
            <w:pPr>
              <w:ind w:firstLine="0" w:firstLineChars="0"/>
              <w:jc w:val="center"/>
              <w:rPr>
                <w:b/>
              </w:rPr>
            </w:pPr>
          </w:p>
        </w:tc>
        <w:tc>
          <w:tcPr>
            <w:tcW w:w="1417" w:type="dxa"/>
            <w:vAlign w:val="center"/>
          </w:tcPr>
          <w:p>
            <w:pPr>
              <w:ind w:firstLine="0" w:firstLineChars="0"/>
              <w:jc w:val="center"/>
            </w:pPr>
            <w:r>
              <w:rPr>
                <w:rFonts w:hint="eastAsia"/>
              </w:rPr>
              <w:t>（三）厂区环境管理</w:t>
            </w:r>
          </w:p>
          <w:p>
            <w:pPr>
              <w:ind w:firstLine="0" w:firstLineChars="0"/>
              <w:jc w:val="center"/>
            </w:pPr>
            <w:r>
              <w:rPr>
                <w:rFonts w:hint="eastAsia"/>
              </w:rPr>
              <w:t>（5分）</w:t>
            </w:r>
          </w:p>
        </w:tc>
        <w:tc>
          <w:tcPr>
            <w:tcW w:w="1559" w:type="dxa"/>
            <w:vAlign w:val="center"/>
          </w:tcPr>
          <w:p>
            <w:pPr>
              <w:ind w:firstLine="0" w:firstLineChars="0"/>
              <w:jc w:val="center"/>
            </w:pPr>
            <w:r>
              <w:t>厂区环境</w:t>
            </w:r>
          </w:p>
          <w:p>
            <w:pPr>
              <w:ind w:firstLine="0" w:firstLineChars="0"/>
              <w:jc w:val="center"/>
            </w:pPr>
            <w:r>
              <w:t>（5分）</w:t>
            </w:r>
          </w:p>
        </w:tc>
        <w:tc>
          <w:tcPr>
            <w:tcW w:w="4332" w:type="dxa"/>
            <w:vAlign w:val="center"/>
          </w:tcPr>
          <w:p>
            <w:pPr>
              <w:ind w:firstLine="0" w:firstLineChars="0"/>
              <w:jc w:val="left"/>
            </w:pPr>
            <w:r>
              <w:t>建筑物外观整洁、无明显的破损；厂区环境卫生良好，无明显垃圾；厂内无明显臭味；工具设备摆放整齐；绿化定期维护，无枯枝杂草；每发现处不合格，扣1分，扣完为止</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Borders>
              <w:left w:val="single" w:color="auto" w:sz="12" w:space="0"/>
            </w:tcBorders>
            <w:vAlign w:val="center"/>
          </w:tcPr>
          <w:p>
            <w:pPr>
              <w:ind w:firstLine="0" w:firstLineChars="0"/>
              <w:jc w:val="center"/>
              <w:rPr>
                <w:b/>
              </w:rPr>
            </w:pPr>
            <w:r>
              <w:rPr>
                <w:rFonts w:hint="eastAsia"/>
                <w:b/>
              </w:rPr>
              <w:t>四、</w:t>
            </w:r>
            <w:r>
              <w:rPr>
                <w:b/>
              </w:rPr>
              <w:t>应急处置</w:t>
            </w:r>
          </w:p>
        </w:tc>
        <w:tc>
          <w:tcPr>
            <w:tcW w:w="1417" w:type="dxa"/>
            <w:vAlign w:val="center"/>
          </w:tcPr>
          <w:p>
            <w:pPr>
              <w:ind w:firstLine="0" w:firstLineChars="0"/>
              <w:jc w:val="center"/>
            </w:pPr>
            <w:r>
              <w:rPr>
                <w:rFonts w:hint="eastAsia"/>
              </w:rPr>
              <w:t>应急管理</w:t>
            </w:r>
          </w:p>
          <w:p>
            <w:pPr>
              <w:ind w:firstLine="0" w:firstLineChars="0"/>
              <w:jc w:val="center"/>
            </w:pPr>
            <w:r>
              <w:rPr>
                <w:rFonts w:hint="eastAsia"/>
              </w:rPr>
              <w:t>（5分）</w:t>
            </w:r>
          </w:p>
        </w:tc>
        <w:tc>
          <w:tcPr>
            <w:tcW w:w="1559" w:type="dxa"/>
            <w:vAlign w:val="center"/>
          </w:tcPr>
          <w:p>
            <w:pPr>
              <w:ind w:firstLine="0" w:firstLineChars="0"/>
              <w:jc w:val="center"/>
            </w:pPr>
            <w:r>
              <w:t>应急预案</w:t>
            </w:r>
          </w:p>
          <w:p>
            <w:pPr>
              <w:ind w:firstLine="0" w:firstLineChars="0"/>
              <w:jc w:val="center"/>
            </w:pPr>
            <w:r>
              <w:t>（5分）</w:t>
            </w:r>
          </w:p>
        </w:tc>
        <w:tc>
          <w:tcPr>
            <w:tcW w:w="4332" w:type="dxa"/>
            <w:vAlign w:val="center"/>
          </w:tcPr>
          <w:p>
            <w:pPr>
              <w:ind w:firstLine="0" w:firstLineChars="0"/>
              <w:jc w:val="left"/>
            </w:pPr>
            <w:r>
              <w:t>建立完善的污水处理厂安全应急预案，并定期组织演练，得满分；未建立完善的污水处理厂应急预案，每次扣5分；有预案，但未针对预案组织职工定期演练，每次扣2分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restart"/>
            <w:tcBorders>
              <w:left w:val="single" w:color="auto" w:sz="12" w:space="0"/>
            </w:tcBorders>
            <w:vAlign w:val="center"/>
          </w:tcPr>
          <w:p>
            <w:pPr>
              <w:ind w:firstLine="0" w:firstLineChars="0"/>
              <w:jc w:val="center"/>
              <w:rPr>
                <w:b/>
              </w:rPr>
            </w:pPr>
            <w:r>
              <w:rPr>
                <w:rFonts w:hint="eastAsia"/>
                <w:b/>
              </w:rPr>
              <w:t>五、日常管理</w:t>
            </w:r>
          </w:p>
        </w:tc>
        <w:tc>
          <w:tcPr>
            <w:tcW w:w="1417" w:type="dxa"/>
            <w:vAlign w:val="center"/>
          </w:tcPr>
          <w:p>
            <w:pPr>
              <w:ind w:firstLine="0" w:firstLineChars="0"/>
              <w:jc w:val="center"/>
              <w:rPr>
                <w:szCs w:val="28"/>
              </w:rPr>
            </w:pPr>
            <w:r>
              <w:rPr>
                <w:rFonts w:hint="eastAsia"/>
                <w:szCs w:val="28"/>
              </w:rPr>
              <w:t>（一）投诉处置</w:t>
            </w:r>
          </w:p>
          <w:p>
            <w:pPr>
              <w:ind w:firstLine="0" w:firstLineChars="0"/>
              <w:jc w:val="center"/>
            </w:pPr>
            <w:r>
              <w:rPr>
                <w:rFonts w:hint="eastAsia"/>
              </w:rPr>
              <w:t>（10分）</w:t>
            </w:r>
          </w:p>
        </w:tc>
        <w:tc>
          <w:tcPr>
            <w:tcW w:w="1559" w:type="dxa"/>
            <w:vAlign w:val="center"/>
          </w:tcPr>
          <w:p>
            <w:pPr>
              <w:ind w:firstLine="0" w:firstLineChars="0"/>
              <w:jc w:val="center"/>
              <w:rPr>
                <w:szCs w:val="28"/>
              </w:rPr>
            </w:pPr>
            <w:r>
              <w:rPr>
                <w:rFonts w:hint="eastAsia"/>
                <w:szCs w:val="28"/>
              </w:rPr>
              <w:t>投诉处置</w:t>
            </w:r>
          </w:p>
          <w:p>
            <w:pPr>
              <w:ind w:firstLine="0" w:firstLineChars="0"/>
              <w:jc w:val="center"/>
            </w:pPr>
            <w:r>
              <w:rPr>
                <w:rFonts w:hint="eastAsia"/>
              </w:rPr>
              <w:t>（10分）</w:t>
            </w:r>
          </w:p>
        </w:tc>
        <w:tc>
          <w:tcPr>
            <w:tcW w:w="4332" w:type="dxa"/>
            <w:vAlign w:val="center"/>
          </w:tcPr>
          <w:p>
            <w:pPr>
              <w:ind w:firstLine="0" w:firstLineChars="0"/>
              <w:jc w:val="left"/>
            </w:pPr>
            <w:r>
              <w:rPr>
                <w:szCs w:val="28"/>
              </w:rPr>
              <w:t>及时处置与</w:t>
            </w:r>
            <w:r>
              <w:rPr>
                <w:rFonts w:hint="eastAsia"/>
                <w:szCs w:val="28"/>
              </w:rPr>
              <w:t>污水处理厂</w:t>
            </w:r>
            <w:r>
              <w:rPr>
                <w:szCs w:val="28"/>
              </w:rPr>
              <w:t>相关的整改通知、信访、投诉案件，并向监管部门及时反馈处置情况，如有违反每次扣2分；因运营方责任原因造成在媒体曝光、群众投诉并堵路、在市级检查及重大活动检查等中受到批评或扣分，每次扣</w:t>
            </w:r>
            <w:r>
              <w:rPr>
                <w:rFonts w:hint="eastAsia"/>
                <w:szCs w:val="28"/>
              </w:rPr>
              <w:t>10</w:t>
            </w:r>
            <w:r>
              <w:rPr>
                <w:szCs w:val="28"/>
              </w:rPr>
              <w:t>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vMerge w:val="continue"/>
            <w:tcBorders>
              <w:left w:val="single" w:color="auto" w:sz="12" w:space="0"/>
            </w:tcBorders>
            <w:vAlign w:val="center"/>
          </w:tcPr>
          <w:p>
            <w:pPr>
              <w:ind w:firstLine="0" w:firstLineChars="0"/>
              <w:jc w:val="center"/>
              <w:rPr>
                <w:b/>
              </w:rPr>
            </w:pPr>
          </w:p>
        </w:tc>
        <w:tc>
          <w:tcPr>
            <w:tcW w:w="1417" w:type="dxa"/>
            <w:vAlign w:val="center"/>
          </w:tcPr>
          <w:p>
            <w:pPr>
              <w:ind w:firstLine="0" w:firstLineChars="0"/>
              <w:jc w:val="center"/>
              <w:rPr>
                <w:szCs w:val="28"/>
              </w:rPr>
            </w:pPr>
            <w:r>
              <w:rPr>
                <w:rFonts w:hint="eastAsia"/>
                <w:szCs w:val="28"/>
              </w:rPr>
              <w:t>（二）其他（2分）</w:t>
            </w:r>
          </w:p>
        </w:tc>
        <w:tc>
          <w:tcPr>
            <w:tcW w:w="1559" w:type="dxa"/>
            <w:vAlign w:val="center"/>
          </w:tcPr>
          <w:p>
            <w:pPr>
              <w:ind w:firstLine="0" w:firstLineChars="0"/>
              <w:jc w:val="center"/>
              <w:rPr>
                <w:szCs w:val="28"/>
              </w:rPr>
            </w:pPr>
            <w:r>
              <w:rPr>
                <w:rFonts w:hint="eastAsia"/>
                <w:szCs w:val="28"/>
              </w:rPr>
              <w:t>其他</w:t>
            </w:r>
          </w:p>
          <w:p>
            <w:pPr>
              <w:ind w:firstLine="0" w:firstLineChars="0"/>
              <w:jc w:val="center"/>
              <w:rPr>
                <w:szCs w:val="28"/>
              </w:rPr>
            </w:pPr>
            <w:r>
              <w:rPr>
                <w:rFonts w:hint="eastAsia"/>
                <w:szCs w:val="28"/>
              </w:rPr>
              <w:t>（2分）</w:t>
            </w:r>
          </w:p>
        </w:tc>
        <w:tc>
          <w:tcPr>
            <w:tcW w:w="4332" w:type="dxa"/>
            <w:vAlign w:val="center"/>
          </w:tcPr>
          <w:p>
            <w:pPr>
              <w:ind w:firstLine="0" w:firstLineChars="0"/>
              <w:jc w:val="left"/>
              <w:rPr>
                <w:szCs w:val="28"/>
              </w:rPr>
            </w:pPr>
            <w:r>
              <w:rPr>
                <w:szCs w:val="28"/>
              </w:rPr>
              <w:t>不遵守垃圾处理基地相关管理制度(宿舍楼管理制度等)，每发现一次扣</w:t>
            </w:r>
            <w:r>
              <w:rPr>
                <w:rFonts w:hint="eastAsia"/>
                <w:szCs w:val="28"/>
              </w:rPr>
              <w:t>1</w:t>
            </w:r>
            <w:r>
              <w:rPr>
                <w:szCs w:val="28"/>
              </w:rPr>
              <w:t>分</w:t>
            </w:r>
            <w:r>
              <w:rPr>
                <w:rFonts w:hint="eastAsia"/>
              </w:rPr>
              <w:t>。</w:t>
            </w:r>
          </w:p>
        </w:tc>
      </w:tr>
    </w:tbl>
    <w:p>
      <w:pPr>
        <w:pStyle w:val="4"/>
        <w:ind w:left="0" w:firstLine="0" w:firstLineChars="0"/>
        <w:rPr>
          <w:rFonts w:ascii="Calibri" w:hAnsi="Calibri"/>
        </w:rPr>
      </w:pPr>
    </w:p>
    <w:p>
      <w:pPr>
        <w:shd w:val="clear" w:color="auto" w:fill="auto"/>
        <w:spacing w:line="240" w:lineRule="auto"/>
        <w:ind w:left="0" w:right="0" w:firstLine="0" w:firstLineChars="0"/>
        <w:jc w:val="left"/>
        <w:rPr>
          <w:rFonts w:ascii="Calibri" w:hAnsi="Calibri"/>
        </w:rPr>
      </w:pPr>
      <w:r>
        <w:rPr>
          <w:rFonts w:ascii="Calibri" w:hAnsi="Calibri"/>
        </w:rPr>
        <w:br w:type="page"/>
      </w:r>
    </w:p>
    <w:p>
      <w:pPr>
        <w:pStyle w:val="5"/>
        <w:ind w:firstLine="562"/>
        <w:jc w:val="center"/>
        <w:rPr>
          <w:rFonts w:ascii="Calibri" w:hAnsi="Calibri"/>
          <w:color w:val="auto"/>
          <w:sz w:val="28"/>
          <w:szCs w:val="28"/>
        </w:rPr>
      </w:pPr>
      <w:r>
        <w:rPr>
          <w:rFonts w:hint="eastAsia"/>
          <w:sz w:val="28"/>
          <w:szCs w:val="28"/>
        </w:rPr>
        <w:t>表</w:t>
      </w:r>
      <w:r>
        <w:rPr>
          <w:sz w:val="28"/>
          <w:szCs w:val="28"/>
        </w:rPr>
        <w:t>4</w:t>
      </w:r>
      <w:r>
        <w:rPr>
          <w:rFonts w:hint="eastAsia"/>
          <w:sz w:val="28"/>
          <w:szCs w:val="28"/>
        </w:rPr>
        <w:t>：中山市炉渣处理厂运营监管评分表</w:t>
      </w:r>
    </w:p>
    <w:tbl>
      <w:tblPr>
        <w:tblStyle w:val="11"/>
        <w:tblW w:w="8291"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1370"/>
        <w:gridCol w:w="1560"/>
        <w:gridCol w:w="375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607" w:type="dxa"/>
            <w:vAlign w:val="center"/>
          </w:tcPr>
          <w:p>
            <w:pPr>
              <w:ind w:firstLine="0" w:firstLineChars="0"/>
              <w:jc w:val="center"/>
              <w:rPr>
                <w:b/>
              </w:rPr>
            </w:pPr>
            <w:r>
              <w:rPr>
                <w:b/>
              </w:rPr>
              <w:t>项目</w:t>
            </w:r>
          </w:p>
        </w:tc>
        <w:tc>
          <w:tcPr>
            <w:tcW w:w="1370" w:type="dxa"/>
            <w:vAlign w:val="center"/>
          </w:tcPr>
          <w:p>
            <w:pPr>
              <w:ind w:firstLine="0" w:firstLineChars="0"/>
              <w:jc w:val="center"/>
            </w:pPr>
            <w:r>
              <w:rPr>
                <w:rFonts w:hint="eastAsia"/>
              </w:rPr>
              <w:t>类别</w:t>
            </w:r>
          </w:p>
        </w:tc>
        <w:tc>
          <w:tcPr>
            <w:tcW w:w="1560" w:type="dxa"/>
            <w:vAlign w:val="center"/>
          </w:tcPr>
          <w:p>
            <w:pPr>
              <w:ind w:firstLine="0" w:firstLineChars="0"/>
              <w:jc w:val="center"/>
            </w:pPr>
            <w:r>
              <w:rPr>
                <w:b/>
              </w:rPr>
              <w:t>考评内容</w:t>
            </w:r>
          </w:p>
        </w:tc>
        <w:tc>
          <w:tcPr>
            <w:tcW w:w="3754" w:type="dxa"/>
            <w:vAlign w:val="center"/>
          </w:tcPr>
          <w:p>
            <w:pPr>
              <w:ind w:firstLine="0" w:firstLineChars="0"/>
              <w:jc w:val="center"/>
            </w:pPr>
            <w:r>
              <w:rPr>
                <w:b/>
              </w:rPr>
              <w:t>扣分标准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Merge w:val="restart"/>
            <w:vAlign w:val="center"/>
          </w:tcPr>
          <w:p>
            <w:pPr>
              <w:adjustRightInd w:val="0"/>
              <w:snapToGrid w:val="0"/>
              <w:ind w:firstLine="0" w:firstLineChars="0"/>
              <w:jc w:val="center"/>
              <w:rPr>
                <w:b/>
                <w:szCs w:val="24"/>
              </w:rPr>
            </w:pPr>
            <w:r>
              <w:rPr>
                <w:rFonts w:hint="eastAsia"/>
                <w:b/>
                <w:szCs w:val="24"/>
              </w:rPr>
              <w:t>一、运营维护</w:t>
            </w:r>
          </w:p>
        </w:tc>
        <w:tc>
          <w:tcPr>
            <w:tcW w:w="1370" w:type="dxa"/>
            <w:vMerge w:val="restart"/>
            <w:vAlign w:val="center"/>
          </w:tcPr>
          <w:p>
            <w:pPr>
              <w:adjustRightInd w:val="0"/>
              <w:snapToGrid w:val="0"/>
              <w:ind w:firstLine="0" w:firstLineChars="0"/>
              <w:jc w:val="center"/>
              <w:rPr>
                <w:szCs w:val="24"/>
              </w:rPr>
            </w:pPr>
            <w:r>
              <w:rPr>
                <w:rFonts w:hint="eastAsia"/>
                <w:szCs w:val="24"/>
              </w:rPr>
              <w:t>（一）</w:t>
            </w:r>
          </w:p>
          <w:p>
            <w:pPr>
              <w:adjustRightInd w:val="0"/>
              <w:snapToGrid w:val="0"/>
              <w:ind w:firstLine="0" w:firstLineChars="0"/>
              <w:jc w:val="center"/>
              <w:rPr>
                <w:szCs w:val="24"/>
              </w:rPr>
            </w:pPr>
            <w:r>
              <w:rPr>
                <w:rFonts w:hint="eastAsia"/>
                <w:szCs w:val="24"/>
              </w:rPr>
              <w:t>进场炉渣管理</w:t>
            </w:r>
          </w:p>
        </w:tc>
        <w:tc>
          <w:tcPr>
            <w:tcW w:w="1560" w:type="dxa"/>
            <w:vAlign w:val="center"/>
          </w:tcPr>
          <w:p>
            <w:pPr>
              <w:adjustRightInd w:val="0"/>
              <w:snapToGrid w:val="0"/>
              <w:ind w:firstLine="0" w:firstLineChars="0"/>
              <w:jc w:val="center"/>
              <w:rPr>
                <w:szCs w:val="24"/>
              </w:rPr>
            </w:pPr>
            <w:r>
              <w:rPr>
                <w:szCs w:val="24"/>
              </w:rPr>
              <w:t>进场炉渣</w:t>
            </w:r>
          </w:p>
          <w:p>
            <w:pPr>
              <w:adjustRightInd w:val="0"/>
              <w:snapToGrid w:val="0"/>
              <w:ind w:firstLine="0" w:firstLineChars="0"/>
              <w:jc w:val="center"/>
              <w:rPr>
                <w:szCs w:val="24"/>
              </w:rPr>
            </w:pPr>
            <w:r>
              <w:rPr>
                <w:szCs w:val="24"/>
              </w:rPr>
              <w:t>管理</w:t>
            </w:r>
          </w:p>
        </w:tc>
        <w:tc>
          <w:tcPr>
            <w:tcW w:w="3754" w:type="dxa"/>
            <w:vAlign w:val="center"/>
          </w:tcPr>
          <w:p>
            <w:pPr>
              <w:ind w:firstLine="0" w:firstLineChars="0"/>
              <w:jc w:val="left"/>
            </w:pPr>
            <w:r>
              <w:t>擅自让不符合进厂规定的炉渣进厂处理，每次扣5分。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Merge w:val="continue"/>
            <w:vAlign w:val="center"/>
          </w:tcPr>
          <w:p>
            <w:pPr>
              <w:adjustRightInd w:val="0"/>
              <w:snapToGrid w:val="0"/>
              <w:ind w:firstLine="0" w:firstLineChars="0"/>
              <w:jc w:val="center"/>
              <w:rPr>
                <w:b/>
                <w:szCs w:val="24"/>
              </w:rPr>
            </w:pPr>
          </w:p>
        </w:tc>
        <w:tc>
          <w:tcPr>
            <w:tcW w:w="1370" w:type="dxa"/>
            <w:vMerge w:val="continue"/>
            <w:vAlign w:val="center"/>
          </w:tcPr>
          <w:p>
            <w:pPr>
              <w:adjustRightInd w:val="0"/>
              <w:snapToGrid w:val="0"/>
              <w:ind w:firstLine="0" w:firstLineChars="0"/>
              <w:jc w:val="center"/>
              <w:rPr>
                <w:szCs w:val="24"/>
              </w:rPr>
            </w:pPr>
          </w:p>
        </w:tc>
        <w:tc>
          <w:tcPr>
            <w:tcW w:w="1560" w:type="dxa"/>
            <w:vMerge w:val="restart"/>
            <w:vAlign w:val="center"/>
          </w:tcPr>
          <w:p>
            <w:pPr>
              <w:adjustRightInd w:val="0"/>
              <w:snapToGrid w:val="0"/>
              <w:ind w:left="0" w:firstLine="0" w:firstLineChars="0"/>
              <w:jc w:val="center"/>
              <w:rPr>
                <w:szCs w:val="24"/>
              </w:rPr>
            </w:pPr>
            <w:r>
              <w:rPr>
                <w:szCs w:val="24"/>
              </w:rPr>
              <w:t>车辆</w:t>
            </w:r>
            <w:r>
              <w:rPr>
                <w:rFonts w:hint="eastAsia"/>
                <w:szCs w:val="24"/>
              </w:rPr>
              <w:t>行驶安全</w:t>
            </w:r>
            <w:r>
              <w:rPr>
                <w:szCs w:val="24"/>
              </w:rPr>
              <w:t>管理</w:t>
            </w:r>
          </w:p>
        </w:tc>
        <w:tc>
          <w:tcPr>
            <w:tcW w:w="3754" w:type="dxa"/>
            <w:vAlign w:val="center"/>
          </w:tcPr>
          <w:p>
            <w:pPr>
              <w:ind w:firstLine="0" w:firstLineChars="0"/>
              <w:jc w:val="left"/>
            </w:pPr>
            <w:r>
              <w:t>进出场车辆必须按照指定路线行驶，否则每次扣5分。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Merge w:val="continue"/>
            <w:vAlign w:val="center"/>
          </w:tcPr>
          <w:p>
            <w:pPr>
              <w:adjustRightInd w:val="0"/>
              <w:snapToGrid w:val="0"/>
              <w:ind w:firstLine="0" w:firstLineChars="0"/>
              <w:jc w:val="center"/>
              <w:rPr>
                <w:b/>
                <w:szCs w:val="24"/>
              </w:rPr>
            </w:pPr>
          </w:p>
        </w:tc>
        <w:tc>
          <w:tcPr>
            <w:tcW w:w="1370" w:type="dxa"/>
            <w:vMerge w:val="continue"/>
            <w:vAlign w:val="center"/>
          </w:tcPr>
          <w:p>
            <w:pPr>
              <w:adjustRightInd w:val="0"/>
              <w:snapToGrid w:val="0"/>
              <w:ind w:firstLine="0" w:firstLineChars="0"/>
              <w:jc w:val="center"/>
              <w:rPr>
                <w:szCs w:val="24"/>
              </w:rPr>
            </w:pPr>
          </w:p>
        </w:tc>
        <w:tc>
          <w:tcPr>
            <w:tcW w:w="1560" w:type="dxa"/>
            <w:vMerge w:val="continue"/>
            <w:vAlign w:val="center"/>
          </w:tcPr>
          <w:p>
            <w:pPr>
              <w:adjustRightInd w:val="0"/>
              <w:snapToGrid w:val="0"/>
              <w:ind w:firstLine="0" w:firstLineChars="0"/>
              <w:jc w:val="center"/>
              <w:rPr>
                <w:szCs w:val="24"/>
              </w:rPr>
            </w:pPr>
          </w:p>
        </w:tc>
        <w:tc>
          <w:tcPr>
            <w:tcW w:w="3754" w:type="dxa"/>
            <w:vAlign w:val="center"/>
          </w:tcPr>
          <w:p>
            <w:pPr>
              <w:ind w:firstLine="0" w:firstLineChars="0"/>
              <w:jc w:val="left"/>
            </w:pPr>
            <w:r>
              <w:t>车辆行驶速度必须按照基地内限定速度，否则每次扣5分。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Merge w:val="continue"/>
            <w:vAlign w:val="center"/>
          </w:tcPr>
          <w:p>
            <w:pPr>
              <w:adjustRightInd w:val="0"/>
              <w:snapToGrid w:val="0"/>
              <w:ind w:firstLine="0" w:firstLineChars="0"/>
              <w:jc w:val="center"/>
              <w:rPr>
                <w:b/>
                <w:szCs w:val="24"/>
              </w:rPr>
            </w:pPr>
          </w:p>
        </w:tc>
        <w:tc>
          <w:tcPr>
            <w:tcW w:w="1370" w:type="dxa"/>
            <w:vMerge w:val="continue"/>
            <w:vAlign w:val="center"/>
          </w:tcPr>
          <w:p>
            <w:pPr>
              <w:adjustRightInd w:val="0"/>
              <w:snapToGrid w:val="0"/>
              <w:ind w:firstLine="0" w:firstLineChars="0"/>
              <w:jc w:val="center"/>
              <w:rPr>
                <w:szCs w:val="24"/>
              </w:rPr>
            </w:pPr>
          </w:p>
        </w:tc>
        <w:tc>
          <w:tcPr>
            <w:tcW w:w="1560" w:type="dxa"/>
            <w:vMerge w:val="continue"/>
            <w:vAlign w:val="center"/>
          </w:tcPr>
          <w:p>
            <w:pPr>
              <w:adjustRightInd w:val="0"/>
              <w:snapToGrid w:val="0"/>
              <w:ind w:firstLine="0" w:firstLineChars="0"/>
              <w:jc w:val="center"/>
              <w:rPr>
                <w:szCs w:val="24"/>
              </w:rPr>
            </w:pPr>
          </w:p>
        </w:tc>
        <w:tc>
          <w:tcPr>
            <w:tcW w:w="3754" w:type="dxa"/>
            <w:vAlign w:val="center"/>
          </w:tcPr>
          <w:p>
            <w:pPr>
              <w:ind w:firstLine="0" w:firstLineChars="0"/>
              <w:jc w:val="left"/>
            </w:pPr>
            <w:r>
              <w:t>如车辆在场内行驶过程中出现洒、滴漏情况，每次扣3分。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Merge w:val="continue"/>
            <w:vAlign w:val="center"/>
          </w:tcPr>
          <w:p>
            <w:pPr>
              <w:adjustRightInd w:val="0"/>
              <w:snapToGrid w:val="0"/>
              <w:ind w:firstLine="0" w:firstLineChars="0"/>
              <w:jc w:val="center"/>
              <w:rPr>
                <w:b/>
                <w:szCs w:val="24"/>
              </w:rPr>
            </w:pPr>
          </w:p>
        </w:tc>
        <w:tc>
          <w:tcPr>
            <w:tcW w:w="1370" w:type="dxa"/>
            <w:vMerge w:val="restart"/>
            <w:vAlign w:val="center"/>
          </w:tcPr>
          <w:p>
            <w:pPr>
              <w:adjustRightInd w:val="0"/>
              <w:snapToGrid w:val="0"/>
              <w:ind w:firstLine="0" w:firstLineChars="0"/>
              <w:jc w:val="center"/>
              <w:rPr>
                <w:szCs w:val="24"/>
              </w:rPr>
            </w:pPr>
            <w:r>
              <w:rPr>
                <w:rFonts w:hint="eastAsia"/>
                <w:szCs w:val="24"/>
              </w:rPr>
              <w:t>（二）</w:t>
            </w:r>
          </w:p>
          <w:p>
            <w:pPr>
              <w:adjustRightInd w:val="0"/>
              <w:snapToGrid w:val="0"/>
              <w:ind w:firstLine="0" w:firstLineChars="0"/>
              <w:jc w:val="center"/>
              <w:rPr>
                <w:szCs w:val="24"/>
              </w:rPr>
            </w:pPr>
            <w:r>
              <w:rPr>
                <w:szCs w:val="24"/>
              </w:rPr>
              <w:t>数据报表</w:t>
            </w:r>
          </w:p>
        </w:tc>
        <w:tc>
          <w:tcPr>
            <w:tcW w:w="1560" w:type="dxa"/>
            <w:vAlign w:val="center"/>
          </w:tcPr>
          <w:p>
            <w:pPr>
              <w:adjustRightInd w:val="0"/>
              <w:snapToGrid w:val="0"/>
              <w:ind w:firstLine="0" w:firstLineChars="0"/>
              <w:jc w:val="center"/>
              <w:rPr>
                <w:szCs w:val="24"/>
              </w:rPr>
            </w:pPr>
            <w:r>
              <w:rPr>
                <w:szCs w:val="24"/>
              </w:rPr>
              <w:t>报送及时性</w:t>
            </w:r>
          </w:p>
        </w:tc>
        <w:tc>
          <w:tcPr>
            <w:tcW w:w="3754" w:type="dxa"/>
            <w:vAlign w:val="center"/>
          </w:tcPr>
          <w:p>
            <w:pPr>
              <w:ind w:firstLine="0" w:firstLineChars="0"/>
              <w:jc w:val="left"/>
            </w:pPr>
            <w:r>
              <w:t>不按规定时间上报数据、报表、设施、设备检修计划，每次扣2分；没有报送的，每次扣5分。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Merge w:val="continue"/>
            <w:vAlign w:val="center"/>
          </w:tcPr>
          <w:p>
            <w:pPr>
              <w:adjustRightInd w:val="0"/>
              <w:snapToGrid w:val="0"/>
              <w:ind w:firstLine="0" w:firstLineChars="0"/>
              <w:jc w:val="center"/>
              <w:rPr>
                <w:b/>
                <w:szCs w:val="24"/>
              </w:rPr>
            </w:pPr>
          </w:p>
        </w:tc>
        <w:tc>
          <w:tcPr>
            <w:tcW w:w="1370" w:type="dxa"/>
            <w:vMerge w:val="continue"/>
            <w:vAlign w:val="center"/>
          </w:tcPr>
          <w:p>
            <w:pPr>
              <w:adjustRightInd w:val="0"/>
              <w:snapToGrid w:val="0"/>
              <w:ind w:firstLine="0" w:firstLineChars="0"/>
              <w:jc w:val="center"/>
              <w:rPr>
                <w:szCs w:val="24"/>
              </w:rPr>
            </w:pPr>
          </w:p>
        </w:tc>
        <w:tc>
          <w:tcPr>
            <w:tcW w:w="1560" w:type="dxa"/>
            <w:vAlign w:val="center"/>
          </w:tcPr>
          <w:p>
            <w:pPr>
              <w:adjustRightInd w:val="0"/>
              <w:snapToGrid w:val="0"/>
              <w:ind w:firstLine="0" w:firstLineChars="0"/>
              <w:jc w:val="center"/>
              <w:rPr>
                <w:szCs w:val="24"/>
              </w:rPr>
            </w:pPr>
            <w:r>
              <w:rPr>
                <w:szCs w:val="24"/>
              </w:rPr>
              <w:t>数据报表准确性</w:t>
            </w:r>
          </w:p>
        </w:tc>
        <w:tc>
          <w:tcPr>
            <w:tcW w:w="3754" w:type="dxa"/>
            <w:vAlign w:val="center"/>
          </w:tcPr>
          <w:p>
            <w:pPr>
              <w:ind w:firstLine="0" w:firstLineChars="0"/>
              <w:jc w:val="left"/>
            </w:pPr>
            <w:r>
              <w:t>炉渣处理量数据弄</w:t>
            </w:r>
            <w:r>
              <w:rPr>
                <w:rFonts w:hint="eastAsia"/>
                <w:lang w:eastAsia="zh-CN"/>
              </w:rPr>
              <w:t>虚</w:t>
            </w:r>
            <w:r>
              <w:t>作假，每次扣20分；报表项目不按要求填报，每项 每次扣1分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Merge w:val="continue"/>
            <w:vAlign w:val="center"/>
          </w:tcPr>
          <w:p>
            <w:pPr>
              <w:adjustRightInd w:val="0"/>
              <w:snapToGrid w:val="0"/>
              <w:ind w:firstLine="175" w:firstLineChars="83"/>
              <w:jc w:val="center"/>
              <w:rPr>
                <w:b/>
                <w:szCs w:val="24"/>
              </w:rPr>
            </w:pPr>
          </w:p>
        </w:tc>
        <w:tc>
          <w:tcPr>
            <w:tcW w:w="1370" w:type="dxa"/>
            <w:vMerge w:val="restart"/>
            <w:vAlign w:val="center"/>
          </w:tcPr>
          <w:p>
            <w:pPr>
              <w:adjustRightInd w:val="0"/>
              <w:snapToGrid w:val="0"/>
              <w:ind w:firstLine="174" w:firstLineChars="83"/>
              <w:jc w:val="center"/>
              <w:rPr>
                <w:szCs w:val="24"/>
              </w:rPr>
            </w:pPr>
            <w:r>
              <w:rPr>
                <w:rFonts w:hint="eastAsia"/>
                <w:szCs w:val="24"/>
              </w:rPr>
              <w:t>（三）</w:t>
            </w:r>
          </w:p>
          <w:p>
            <w:pPr>
              <w:adjustRightInd w:val="0"/>
              <w:snapToGrid w:val="0"/>
              <w:ind w:firstLine="174" w:firstLineChars="83"/>
              <w:jc w:val="center"/>
              <w:rPr>
                <w:szCs w:val="24"/>
              </w:rPr>
            </w:pPr>
            <w:r>
              <w:rPr>
                <w:szCs w:val="24"/>
              </w:rPr>
              <w:t>设备设施</w:t>
            </w:r>
          </w:p>
        </w:tc>
        <w:tc>
          <w:tcPr>
            <w:tcW w:w="1560" w:type="dxa"/>
            <w:vAlign w:val="center"/>
          </w:tcPr>
          <w:p>
            <w:pPr>
              <w:adjustRightInd w:val="0"/>
              <w:snapToGrid w:val="0"/>
              <w:ind w:firstLine="0" w:firstLineChars="0"/>
              <w:jc w:val="center"/>
              <w:rPr>
                <w:szCs w:val="24"/>
              </w:rPr>
            </w:pPr>
            <w:r>
              <w:rPr>
                <w:szCs w:val="24"/>
              </w:rPr>
              <w:t>年度检修计划报送</w:t>
            </w:r>
          </w:p>
        </w:tc>
        <w:tc>
          <w:tcPr>
            <w:tcW w:w="3754" w:type="dxa"/>
            <w:vAlign w:val="center"/>
          </w:tcPr>
          <w:p>
            <w:pPr>
              <w:ind w:firstLine="0" w:firstLineChars="0"/>
              <w:jc w:val="left"/>
            </w:pPr>
            <w:r>
              <w:t>根据制砖厂的运营情况，制定相关设备年度检修计划，没有报送的，每月扣5分。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Merge w:val="continue"/>
            <w:vAlign w:val="center"/>
          </w:tcPr>
          <w:p>
            <w:pPr>
              <w:adjustRightInd w:val="0"/>
              <w:snapToGrid w:val="0"/>
              <w:ind w:firstLine="0" w:firstLineChars="0"/>
              <w:jc w:val="center"/>
              <w:rPr>
                <w:b/>
                <w:szCs w:val="24"/>
              </w:rPr>
            </w:pPr>
          </w:p>
        </w:tc>
        <w:tc>
          <w:tcPr>
            <w:tcW w:w="1370" w:type="dxa"/>
            <w:vMerge w:val="continue"/>
            <w:vAlign w:val="center"/>
          </w:tcPr>
          <w:p>
            <w:pPr>
              <w:adjustRightInd w:val="0"/>
              <w:snapToGrid w:val="0"/>
              <w:ind w:firstLine="0" w:firstLineChars="0"/>
              <w:jc w:val="center"/>
              <w:rPr>
                <w:szCs w:val="24"/>
              </w:rPr>
            </w:pPr>
          </w:p>
        </w:tc>
        <w:tc>
          <w:tcPr>
            <w:tcW w:w="1560" w:type="dxa"/>
            <w:vAlign w:val="center"/>
          </w:tcPr>
          <w:p>
            <w:pPr>
              <w:adjustRightInd w:val="0"/>
              <w:snapToGrid w:val="0"/>
              <w:ind w:firstLine="0" w:firstLineChars="0"/>
              <w:jc w:val="center"/>
              <w:rPr>
                <w:szCs w:val="24"/>
              </w:rPr>
            </w:pPr>
            <w:r>
              <w:rPr>
                <w:szCs w:val="24"/>
              </w:rPr>
              <w:t>用途</w:t>
            </w:r>
          </w:p>
        </w:tc>
        <w:tc>
          <w:tcPr>
            <w:tcW w:w="3754" w:type="dxa"/>
            <w:vAlign w:val="center"/>
          </w:tcPr>
          <w:p>
            <w:pPr>
              <w:ind w:firstLine="0" w:firstLineChars="0"/>
              <w:jc w:val="left"/>
            </w:pPr>
            <w:r>
              <w:t>擅自将设施设备用于炉渣制砖运营以外的其它用途，每台次扣5分。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Merge w:val="continue"/>
            <w:vAlign w:val="center"/>
          </w:tcPr>
          <w:p>
            <w:pPr>
              <w:adjustRightInd w:val="0"/>
              <w:snapToGrid w:val="0"/>
              <w:ind w:firstLine="0" w:firstLineChars="0"/>
              <w:jc w:val="center"/>
              <w:rPr>
                <w:b/>
                <w:szCs w:val="24"/>
              </w:rPr>
            </w:pPr>
          </w:p>
        </w:tc>
        <w:tc>
          <w:tcPr>
            <w:tcW w:w="1370" w:type="dxa"/>
            <w:vMerge w:val="continue"/>
            <w:vAlign w:val="center"/>
          </w:tcPr>
          <w:p>
            <w:pPr>
              <w:adjustRightInd w:val="0"/>
              <w:snapToGrid w:val="0"/>
              <w:ind w:firstLine="0" w:firstLineChars="0"/>
              <w:jc w:val="center"/>
              <w:rPr>
                <w:szCs w:val="24"/>
              </w:rPr>
            </w:pPr>
          </w:p>
        </w:tc>
        <w:tc>
          <w:tcPr>
            <w:tcW w:w="1560" w:type="dxa"/>
            <w:vAlign w:val="center"/>
          </w:tcPr>
          <w:p>
            <w:pPr>
              <w:adjustRightInd w:val="0"/>
              <w:snapToGrid w:val="0"/>
              <w:ind w:firstLine="0" w:firstLineChars="0"/>
              <w:jc w:val="center"/>
              <w:rPr>
                <w:szCs w:val="24"/>
              </w:rPr>
            </w:pPr>
            <w:r>
              <w:rPr>
                <w:szCs w:val="24"/>
              </w:rPr>
              <w:t>维护保养</w:t>
            </w:r>
          </w:p>
        </w:tc>
        <w:tc>
          <w:tcPr>
            <w:tcW w:w="3754" w:type="dxa"/>
            <w:vAlign w:val="center"/>
          </w:tcPr>
          <w:p>
            <w:pPr>
              <w:ind w:firstLine="0" w:firstLineChars="0"/>
              <w:jc w:val="left"/>
            </w:pPr>
            <w:r>
              <w:t>不按年度检修计划对设施设备进行维护保养，每台次扣1分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Merge w:val="continue"/>
            <w:vAlign w:val="center"/>
          </w:tcPr>
          <w:p>
            <w:pPr>
              <w:adjustRightInd w:val="0"/>
              <w:snapToGrid w:val="0"/>
              <w:ind w:firstLine="0" w:firstLineChars="0"/>
              <w:jc w:val="center"/>
              <w:rPr>
                <w:b/>
                <w:szCs w:val="24"/>
              </w:rPr>
            </w:pPr>
          </w:p>
        </w:tc>
        <w:tc>
          <w:tcPr>
            <w:tcW w:w="1370" w:type="dxa"/>
            <w:vMerge w:val="continue"/>
            <w:vAlign w:val="center"/>
          </w:tcPr>
          <w:p>
            <w:pPr>
              <w:adjustRightInd w:val="0"/>
              <w:snapToGrid w:val="0"/>
              <w:ind w:firstLine="0" w:firstLineChars="0"/>
              <w:jc w:val="center"/>
              <w:rPr>
                <w:szCs w:val="24"/>
              </w:rPr>
            </w:pPr>
          </w:p>
        </w:tc>
        <w:tc>
          <w:tcPr>
            <w:tcW w:w="1560" w:type="dxa"/>
            <w:vAlign w:val="center"/>
          </w:tcPr>
          <w:p>
            <w:pPr>
              <w:adjustRightInd w:val="0"/>
              <w:snapToGrid w:val="0"/>
              <w:ind w:firstLine="0" w:firstLineChars="0"/>
              <w:jc w:val="center"/>
              <w:rPr>
                <w:szCs w:val="24"/>
              </w:rPr>
            </w:pPr>
            <w:r>
              <w:rPr>
                <w:szCs w:val="24"/>
              </w:rPr>
              <w:t>完好情况</w:t>
            </w:r>
          </w:p>
        </w:tc>
        <w:tc>
          <w:tcPr>
            <w:tcW w:w="3754" w:type="dxa"/>
            <w:vAlign w:val="center"/>
          </w:tcPr>
          <w:p>
            <w:pPr>
              <w:ind w:firstLine="0" w:firstLineChars="0"/>
              <w:jc w:val="left"/>
            </w:pPr>
            <w:r>
              <w:t>设施设备应能正常启动或使用，不符合此要求的，每台次扣1分。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Align w:val="center"/>
          </w:tcPr>
          <w:p>
            <w:pPr>
              <w:adjustRightInd w:val="0"/>
              <w:snapToGrid w:val="0"/>
              <w:ind w:firstLine="0" w:firstLineChars="0"/>
              <w:jc w:val="center"/>
              <w:rPr>
                <w:b/>
                <w:szCs w:val="24"/>
              </w:rPr>
            </w:pPr>
            <w:r>
              <w:rPr>
                <w:rFonts w:hint="eastAsia"/>
                <w:b/>
              </w:rPr>
              <w:t>二、安全生产</w:t>
            </w:r>
          </w:p>
        </w:tc>
        <w:tc>
          <w:tcPr>
            <w:tcW w:w="1370" w:type="dxa"/>
            <w:vAlign w:val="center"/>
          </w:tcPr>
          <w:p>
            <w:pPr>
              <w:adjustRightInd w:val="0"/>
              <w:snapToGrid w:val="0"/>
              <w:ind w:firstLine="0" w:firstLineChars="0"/>
              <w:jc w:val="center"/>
              <w:rPr>
                <w:szCs w:val="24"/>
              </w:rPr>
            </w:pPr>
            <w:r>
              <w:t>安全生产</w:t>
            </w:r>
          </w:p>
        </w:tc>
        <w:tc>
          <w:tcPr>
            <w:tcW w:w="1560" w:type="dxa"/>
            <w:vAlign w:val="center"/>
          </w:tcPr>
          <w:p>
            <w:pPr>
              <w:adjustRightInd w:val="0"/>
              <w:snapToGrid w:val="0"/>
              <w:ind w:firstLine="0" w:firstLineChars="0"/>
              <w:jc w:val="center"/>
              <w:rPr>
                <w:szCs w:val="24"/>
              </w:rPr>
            </w:pPr>
            <w:r>
              <w:t>安全生产</w:t>
            </w:r>
          </w:p>
        </w:tc>
        <w:tc>
          <w:tcPr>
            <w:tcW w:w="3754" w:type="dxa"/>
          </w:tcPr>
          <w:p>
            <w:pPr>
              <w:ind w:firstLine="0" w:firstLineChars="0"/>
              <w:jc w:val="left"/>
            </w:pPr>
            <w:r>
              <w:t>安全措施、标识不健全、不落实或发现事故隐患不及时进行整改，每次扣5分；由于违规作业造成安全事故，视情节轻重，每宗扣5-20分；隐瞒事故，每宗扣20分。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Align w:val="center"/>
          </w:tcPr>
          <w:p>
            <w:pPr>
              <w:adjustRightInd w:val="0"/>
              <w:snapToGrid w:val="0"/>
              <w:ind w:firstLine="0" w:firstLineChars="0"/>
              <w:jc w:val="center"/>
              <w:rPr>
                <w:b/>
                <w:szCs w:val="24"/>
              </w:rPr>
            </w:pPr>
            <w:r>
              <w:rPr>
                <w:rFonts w:hint="eastAsia"/>
                <w:b/>
                <w:szCs w:val="24"/>
              </w:rPr>
              <w:t>三、环保措施</w:t>
            </w:r>
          </w:p>
        </w:tc>
        <w:tc>
          <w:tcPr>
            <w:tcW w:w="1370" w:type="dxa"/>
            <w:vAlign w:val="center"/>
          </w:tcPr>
          <w:p>
            <w:pPr>
              <w:adjustRightInd w:val="0"/>
              <w:snapToGrid w:val="0"/>
              <w:ind w:firstLine="0" w:firstLineChars="0"/>
              <w:jc w:val="center"/>
              <w:rPr>
                <w:szCs w:val="24"/>
              </w:rPr>
            </w:pPr>
            <w:r>
              <w:rPr>
                <w:szCs w:val="24"/>
              </w:rPr>
              <w:t>环境监测</w:t>
            </w:r>
          </w:p>
        </w:tc>
        <w:tc>
          <w:tcPr>
            <w:tcW w:w="1560" w:type="dxa"/>
            <w:vAlign w:val="center"/>
          </w:tcPr>
          <w:p>
            <w:pPr>
              <w:adjustRightInd w:val="0"/>
              <w:snapToGrid w:val="0"/>
              <w:ind w:firstLine="0" w:firstLineChars="0"/>
              <w:jc w:val="center"/>
              <w:rPr>
                <w:szCs w:val="24"/>
              </w:rPr>
            </w:pPr>
            <w:r>
              <w:rPr>
                <w:szCs w:val="24"/>
              </w:rPr>
              <w:t>监测数据</w:t>
            </w:r>
          </w:p>
        </w:tc>
        <w:tc>
          <w:tcPr>
            <w:tcW w:w="3754" w:type="dxa"/>
            <w:vAlign w:val="center"/>
          </w:tcPr>
          <w:p>
            <w:pPr>
              <w:ind w:firstLine="0" w:firstLineChars="0"/>
              <w:jc w:val="left"/>
            </w:pPr>
            <w:r>
              <w:t>不按规定频率、要求进行环境监测，每次扣15分；监测数据弄虚作假 每次扣20分。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Align w:val="center"/>
          </w:tcPr>
          <w:p>
            <w:pPr>
              <w:adjustRightInd w:val="0"/>
              <w:snapToGrid w:val="0"/>
              <w:ind w:firstLine="0" w:firstLineChars="0"/>
              <w:jc w:val="center"/>
              <w:rPr>
                <w:b/>
                <w:szCs w:val="24"/>
              </w:rPr>
            </w:pPr>
            <w:r>
              <w:rPr>
                <w:rFonts w:hint="eastAsia"/>
                <w:b/>
                <w:szCs w:val="24"/>
              </w:rPr>
              <w:t>四、应急措施</w:t>
            </w:r>
          </w:p>
        </w:tc>
        <w:tc>
          <w:tcPr>
            <w:tcW w:w="1370" w:type="dxa"/>
            <w:vAlign w:val="center"/>
          </w:tcPr>
          <w:p>
            <w:pPr>
              <w:adjustRightInd w:val="0"/>
              <w:snapToGrid w:val="0"/>
              <w:ind w:firstLine="0" w:firstLineChars="0"/>
              <w:jc w:val="center"/>
              <w:rPr>
                <w:szCs w:val="24"/>
              </w:rPr>
            </w:pPr>
            <w:r>
              <w:rPr>
                <w:rFonts w:hint="eastAsia"/>
              </w:rPr>
              <w:t>应急管理</w:t>
            </w:r>
          </w:p>
        </w:tc>
        <w:tc>
          <w:tcPr>
            <w:tcW w:w="1560" w:type="dxa"/>
            <w:vAlign w:val="center"/>
          </w:tcPr>
          <w:p>
            <w:pPr>
              <w:ind w:firstLine="0" w:firstLineChars="0"/>
              <w:jc w:val="center"/>
            </w:pPr>
            <w:r>
              <w:t>应急预案</w:t>
            </w:r>
          </w:p>
        </w:tc>
        <w:tc>
          <w:tcPr>
            <w:tcW w:w="3754" w:type="dxa"/>
            <w:vAlign w:val="center"/>
          </w:tcPr>
          <w:p>
            <w:pPr>
              <w:ind w:firstLine="0" w:firstLineChars="0"/>
              <w:jc w:val="left"/>
            </w:pPr>
            <w:r>
              <w:t>建立完善的</w:t>
            </w:r>
            <w:r>
              <w:rPr>
                <w:rFonts w:hint="eastAsia"/>
              </w:rPr>
              <w:t>炉渣处理</w:t>
            </w:r>
            <w:r>
              <w:t>厂安全应急预案，并定期组织演练，得满分；未建立完善的</w:t>
            </w:r>
            <w:r>
              <w:rPr>
                <w:rFonts w:hint="eastAsia"/>
              </w:rPr>
              <w:t>炉渣处理</w:t>
            </w:r>
            <w:r>
              <w:t>应急预案，每次扣5分；有预案，但未针对预案组织职工定期演练，每次扣2分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Merge w:val="restart"/>
            <w:vAlign w:val="center"/>
          </w:tcPr>
          <w:p>
            <w:pPr>
              <w:adjustRightInd w:val="0"/>
              <w:snapToGrid w:val="0"/>
              <w:ind w:firstLine="0" w:firstLineChars="0"/>
              <w:jc w:val="center"/>
              <w:rPr>
                <w:b/>
                <w:szCs w:val="24"/>
              </w:rPr>
            </w:pPr>
            <w:r>
              <w:rPr>
                <w:rFonts w:hint="eastAsia"/>
                <w:b/>
                <w:szCs w:val="24"/>
              </w:rPr>
              <w:t>五、日常管理</w:t>
            </w:r>
          </w:p>
        </w:tc>
        <w:tc>
          <w:tcPr>
            <w:tcW w:w="1370" w:type="dxa"/>
            <w:vAlign w:val="center"/>
          </w:tcPr>
          <w:p>
            <w:pPr>
              <w:adjustRightInd w:val="0"/>
              <w:snapToGrid w:val="0"/>
              <w:ind w:firstLine="0" w:firstLineChars="0"/>
              <w:jc w:val="center"/>
              <w:rPr>
                <w:szCs w:val="24"/>
              </w:rPr>
            </w:pPr>
            <w:r>
              <w:rPr>
                <w:rFonts w:hint="eastAsia"/>
                <w:szCs w:val="28"/>
              </w:rPr>
              <w:t>（一）</w:t>
            </w:r>
            <w:r>
              <w:rPr>
                <w:szCs w:val="24"/>
              </w:rPr>
              <w:t>环境卫生</w:t>
            </w:r>
          </w:p>
        </w:tc>
        <w:tc>
          <w:tcPr>
            <w:tcW w:w="1560" w:type="dxa"/>
            <w:vAlign w:val="center"/>
          </w:tcPr>
          <w:p>
            <w:pPr>
              <w:adjustRightInd w:val="0"/>
              <w:snapToGrid w:val="0"/>
              <w:ind w:firstLine="0" w:firstLineChars="0"/>
              <w:jc w:val="center"/>
              <w:rPr>
                <w:szCs w:val="24"/>
              </w:rPr>
            </w:pPr>
            <w:r>
              <w:rPr>
                <w:szCs w:val="24"/>
              </w:rPr>
              <w:t>环境卫生</w:t>
            </w:r>
          </w:p>
        </w:tc>
        <w:tc>
          <w:tcPr>
            <w:tcW w:w="3754" w:type="dxa"/>
            <w:vAlign w:val="center"/>
          </w:tcPr>
          <w:p>
            <w:pPr>
              <w:ind w:firstLine="0" w:firstLineChars="0"/>
              <w:jc w:val="left"/>
            </w:pPr>
            <w:r>
              <w:t>炉渣作业区内有人捡拾废品，每次扣5分；排水沟堵塞不及时清疏，每次扣1分。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607" w:type="dxa"/>
            <w:vMerge w:val="continue"/>
            <w:vAlign w:val="center"/>
          </w:tcPr>
          <w:p>
            <w:pPr>
              <w:adjustRightInd w:val="0"/>
              <w:snapToGrid w:val="0"/>
              <w:ind w:firstLine="0" w:firstLineChars="0"/>
              <w:jc w:val="center"/>
              <w:rPr>
                <w:b/>
                <w:szCs w:val="24"/>
              </w:rPr>
            </w:pPr>
          </w:p>
        </w:tc>
        <w:tc>
          <w:tcPr>
            <w:tcW w:w="1370" w:type="dxa"/>
            <w:vAlign w:val="center"/>
          </w:tcPr>
          <w:p>
            <w:pPr>
              <w:adjustRightInd w:val="0"/>
              <w:snapToGrid w:val="0"/>
              <w:ind w:firstLine="0" w:firstLineChars="0"/>
              <w:jc w:val="center"/>
              <w:rPr>
                <w:szCs w:val="28"/>
              </w:rPr>
            </w:pPr>
            <w:r>
              <w:rPr>
                <w:rFonts w:hint="eastAsia"/>
                <w:szCs w:val="28"/>
              </w:rPr>
              <w:t>（二）其他</w:t>
            </w:r>
          </w:p>
        </w:tc>
        <w:tc>
          <w:tcPr>
            <w:tcW w:w="1560" w:type="dxa"/>
            <w:vAlign w:val="center"/>
          </w:tcPr>
          <w:p>
            <w:pPr>
              <w:adjustRightInd w:val="0"/>
              <w:snapToGrid w:val="0"/>
              <w:ind w:firstLine="0" w:firstLineChars="0"/>
              <w:jc w:val="center"/>
              <w:rPr>
                <w:szCs w:val="24"/>
              </w:rPr>
            </w:pPr>
            <w:r>
              <w:rPr>
                <w:rFonts w:hint="eastAsia"/>
                <w:szCs w:val="28"/>
              </w:rPr>
              <w:t>其他</w:t>
            </w:r>
          </w:p>
        </w:tc>
        <w:tc>
          <w:tcPr>
            <w:tcW w:w="3754" w:type="dxa"/>
            <w:vAlign w:val="center"/>
          </w:tcPr>
          <w:p>
            <w:pPr>
              <w:ind w:firstLine="0" w:firstLineChars="0"/>
              <w:jc w:val="left"/>
            </w:pPr>
            <w:r>
              <w:rPr>
                <w:szCs w:val="28"/>
              </w:rPr>
              <w:t>不遵守垃圾处理基地相关管理制度(如</w:t>
            </w:r>
            <w:r>
              <w:rPr>
                <w:rFonts w:hint="eastAsia"/>
                <w:szCs w:val="28"/>
              </w:rPr>
              <w:t>遵守</w:t>
            </w:r>
            <w:r>
              <w:rPr>
                <w:szCs w:val="28"/>
              </w:rPr>
              <w:t>宿舍楼管理制度等)，每发现一次扣0.5分</w:t>
            </w:r>
            <w:r>
              <w:rPr>
                <w:rFonts w:hint="eastAsia"/>
              </w:rPr>
              <w:t>。</w:t>
            </w:r>
          </w:p>
        </w:tc>
      </w:tr>
    </w:tbl>
    <w:p>
      <w:pPr>
        <w:shd w:val="clear" w:color="auto" w:fill="auto"/>
        <w:spacing w:line="240" w:lineRule="auto"/>
        <w:ind w:left="0" w:right="0" w:firstLine="0" w:firstLineChars="0"/>
        <w:jc w:val="left"/>
        <w:rPr>
          <w:rFonts w:ascii="Calibri" w:hAnsi="Calibri" w:cs="宋体"/>
          <w:sz w:val="24"/>
          <w:szCs w:val="24"/>
        </w:rPr>
      </w:pPr>
      <w:r>
        <w:rPr>
          <w:rFonts w:ascii="Calibri" w:hAnsi="Calibri"/>
        </w:rPr>
        <w:br w:type="page"/>
      </w:r>
    </w:p>
    <w:p>
      <w:pPr>
        <w:pStyle w:val="5"/>
        <w:ind w:firstLine="562"/>
        <w:jc w:val="center"/>
        <w:rPr>
          <w:rFonts w:ascii="Calibri" w:hAnsi="Calibri"/>
          <w:color w:val="auto"/>
          <w:sz w:val="28"/>
          <w:szCs w:val="28"/>
        </w:rPr>
      </w:pPr>
      <w:r>
        <w:rPr>
          <w:rFonts w:hint="eastAsia"/>
          <w:sz w:val="28"/>
          <w:szCs w:val="28"/>
        </w:rPr>
        <w:t>表</w:t>
      </w:r>
      <w:r>
        <w:rPr>
          <w:sz w:val="28"/>
          <w:szCs w:val="28"/>
        </w:rPr>
        <w:t>5</w:t>
      </w:r>
      <w:r>
        <w:rPr>
          <w:rFonts w:hint="eastAsia"/>
          <w:sz w:val="28"/>
          <w:szCs w:val="28"/>
        </w:rPr>
        <w:t>：中山市飞灰稳定化处理中心运营监管评分表</w:t>
      </w:r>
    </w:p>
    <w:tbl>
      <w:tblPr>
        <w:tblStyle w:val="11"/>
        <w:tblW w:w="8291"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0"/>
        <w:gridCol w:w="1580"/>
        <w:gridCol w:w="1730"/>
        <w:gridCol w:w="34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80" w:type="dxa"/>
          </w:tcPr>
          <w:p>
            <w:pPr>
              <w:ind w:firstLine="0" w:firstLineChars="0"/>
              <w:jc w:val="center"/>
              <w:rPr>
                <w:b/>
              </w:rPr>
            </w:pPr>
            <w:r>
              <w:rPr>
                <w:b/>
              </w:rPr>
              <w:t>项目</w:t>
            </w:r>
          </w:p>
        </w:tc>
        <w:tc>
          <w:tcPr>
            <w:tcW w:w="1580" w:type="dxa"/>
            <w:vAlign w:val="center"/>
          </w:tcPr>
          <w:p>
            <w:pPr>
              <w:ind w:firstLine="0" w:firstLineChars="0"/>
              <w:jc w:val="center"/>
              <w:rPr>
                <w:b/>
              </w:rPr>
            </w:pPr>
            <w:r>
              <w:rPr>
                <w:rFonts w:hint="eastAsia"/>
                <w:b/>
              </w:rPr>
              <w:t>类别</w:t>
            </w:r>
          </w:p>
        </w:tc>
        <w:tc>
          <w:tcPr>
            <w:tcW w:w="1730" w:type="dxa"/>
            <w:vAlign w:val="center"/>
          </w:tcPr>
          <w:p>
            <w:pPr>
              <w:ind w:firstLine="0" w:firstLineChars="0"/>
              <w:jc w:val="center"/>
            </w:pPr>
            <w:r>
              <w:rPr>
                <w:b/>
              </w:rPr>
              <w:t>考评内容</w:t>
            </w:r>
          </w:p>
        </w:tc>
        <w:tc>
          <w:tcPr>
            <w:tcW w:w="3401" w:type="dxa"/>
            <w:vAlign w:val="center"/>
          </w:tcPr>
          <w:p>
            <w:pPr>
              <w:ind w:firstLine="0" w:firstLineChars="0"/>
              <w:jc w:val="center"/>
            </w:pPr>
            <w:r>
              <w:rPr>
                <w:b/>
              </w:rPr>
              <w:t>扣分标准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restart"/>
            <w:vAlign w:val="center"/>
          </w:tcPr>
          <w:p>
            <w:pPr>
              <w:adjustRightInd w:val="0"/>
              <w:snapToGrid w:val="0"/>
              <w:ind w:firstLine="0" w:firstLineChars="0"/>
              <w:jc w:val="center"/>
              <w:rPr>
                <w:b/>
                <w:bCs/>
                <w:szCs w:val="24"/>
              </w:rPr>
            </w:pPr>
            <w:r>
              <w:rPr>
                <w:rFonts w:hint="eastAsia"/>
                <w:b/>
                <w:bCs/>
                <w:szCs w:val="24"/>
              </w:rPr>
              <w:t>一、运营维护</w:t>
            </w:r>
          </w:p>
        </w:tc>
        <w:tc>
          <w:tcPr>
            <w:tcW w:w="1580" w:type="dxa"/>
            <w:vMerge w:val="restart"/>
            <w:vAlign w:val="center"/>
          </w:tcPr>
          <w:p>
            <w:pPr>
              <w:adjustRightInd w:val="0"/>
              <w:snapToGrid w:val="0"/>
              <w:ind w:firstLine="0" w:firstLineChars="0"/>
              <w:jc w:val="center"/>
              <w:rPr>
                <w:szCs w:val="24"/>
              </w:rPr>
            </w:pPr>
            <w:r>
              <w:rPr>
                <w:rFonts w:hint="eastAsia"/>
                <w:szCs w:val="24"/>
              </w:rPr>
              <w:t>（一）进场飞灰管理</w:t>
            </w:r>
          </w:p>
        </w:tc>
        <w:tc>
          <w:tcPr>
            <w:tcW w:w="1730" w:type="dxa"/>
            <w:vAlign w:val="center"/>
          </w:tcPr>
          <w:p>
            <w:pPr>
              <w:adjustRightInd w:val="0"/>
              <w:snapToGrid w:val="0"/>
              <w:ind w:firstLine="0" w:firstLineChars="0"/>
              <w:jc w:val="center"/>
              <w:rPr>
                <w:szCs w:val="24"/>
              </w:rPr>
            </w:pPr>
            <w:r>
              <w:rPr>
                <w:rFonts w:hint="eastAsia"/>
                <w:szCs w:val="24"/>
              </w:rPr>
              <w:t>车辆管理</w:t>
            </w:r>
          </w:p>
        </w:tc>
        <w:tc>
          <w:tcPr>
            <w:tcW w:w="3401" w:type="dxa"/>
            <w:vAlign w:val="center"/>
          </w:tcPr>
          <w:p>
            <w:pPr>
              <w:ind w:firstLine="0" w:firstLineChars="0"/>
              <w:jc w:val="left"/>
            </w:pPr>
            <w:r>
              <w:rPr>
                <w:rFonts w:hint="eastAsia"/>
              </w:rPr>
              <w:t>飞灰运输车辆必须符合危险废物运输相关标准规范，否则每次扣5分。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continue"/>
          </w:tcPr>
          <w:p>
            <w:pPr>
              <w:adjustRightInd w:val="0"/>
              <w:snapToGrid w:val="0"/>
              <w:ind w:firstLine="0" w:firstLineChars="0"/>
              <w:jc w:val="center"/>
              <w:rPr>
                <w:szCs w:val="24"/>
              </w:rPr>
            </w:pPr>
          </w:p>
        </w:tc>
        <w:tc>
          <w:tcPr>
            <w:tcW w:w="1580" w:type="dxa"/>
            <w:vMerge w:val="continue"/>
            <w:vAlign w:val="center"/>
          </w:tcPr>
          <w:p>
            <w:pPr>
              <w:adjustRightInd w:val="0"/>
              <w:snapToGrid w:val="0"/>
              <w:ind w:firstLine="0" w:firstLineChars="0"/>
              <w:jc w:val="center"/>
              <w:rPr>
                <w:szCs w:val="24"/>
              </w:rPr>
            </w:pPr>
          </w:p>
        </w:tc>
        <w:tc>
          <w:tcPr>
            <w:tcW w:w="1730" w:type="dxa"/>
            <w:vAlign w:val="center"/>
          </w:tcPr>
          <w:p>
            <w:pPr>
              <w:adjustRightInd w:val="0"/>
              <w:snapToGrid w:val="0"/>
              <w:ind w:firstLine="0" w:firstLineChars="0"/>
              <w:jc w:val="center"/>
              <w:rPr>
                <w:szCs w:val="24"/>
              </w:rPr>
            </w:pPr>
            <w:r>
              <w:rPr>
                <w:szCs w:val="24"/>
              </w:rPr>
              <w:t>车辆行驶管理</w:t>
            </w:r>
          </w:p>
        </w:tc>
        <w:tc>
          <w:tcPr>
            <w:tcW w:w="3401" w:type="dxa"/>
            <w:vAlign w:val="center"/>
          </w:tcPr>
          <w:p>
            <w:pPr>
              <w:ind w:firstLine="0" w:firstLineChars="0"/>
              <w:jc w:val="left"/>
            </w:pPr>
            <w:r>
              <w:rPr>
                <w:rFonts w:hint="eastAsia"/>
              </w:rPr>
              <w:t>飞灰运输环节必须保持密闭状态。</w:t>
            </w:r>
            <w:r>
              <w:t>如车辆在场内行驶过程中出现</w:t>
            </w:r>
            <w:r>
              <w:rPr>
                <w:rFonts w:hint="eastAsia"/>
              </w:rPr>
              <w:t>飞灰溢散</w:t>
            </w:r>
            <w:r>
              <w:t>情况，每次扣</w:t>
            </w:r>
            <w:r>
              <w:rPr>
                <w:rFonts w:hint="eastAsia"/>
              </w:rPr>
              <w:t>5</w:t>
            </w:r>
            <w: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continue"/>
          </w:tcPr>
          <w:p>
            <w:pPr>
              <w:adjustRightInd w:val="0"/>
              <w:snapToGrid w:val="0"/>
              <w:ind w:firstLine="0" w:firstLineChars="0"/>
              <w:jc w:val="center"/>
              <w:rPr>
                <w:szCs w:val="24"/>
              </w:rPr>
            </w:pPr>
          </w:p>
        </w:tc>
        <w:tc>
          <w:tcPr>
            <w:tcW w:w="1580" w:type="dxa"/>
            <w:vMerge w:val="restart"/>
            <w:vAlign w:val="center"/>
          </w:tcPr>
          <w:p>
            <w:pPr>
              <w:adjustRightInd w:val="0"/>
              <w:snapToGrid w:val="0"/>
              <w:ind w:firstLine="0" w:firstLineChars="0"/>
              <w:jc w:val="center"/>
              <w:rPr>
                <w:szCs w:val="24"/>
              </w:rPr>
            </w:pPr>
            <w:r>
              <w:rPr>
                <w:rFonts w:hint="eastAsia"/>
                <w:szCs w:val="24"/>
              </w:rPr>
              <w:t>（二）</w:t>
            </w:r>
          </w:p>
          <w:p>
            <w:pPr>
              <w:adjustRightInd w:val="0"/>
              <w:snapToGrid w:val="0"/>
              <w:ind w:firstLine="0" w:firstLineChars="0"/>
              <w:jc w:val="center"/>
              <w:rPr>
                <w:szCs w:val="24"/>
              </w:rPr>
            </w:pPr>
            <w:r>
              <w:rPr>
                <w:rFonts w:hint="eastAsia"/>
                <w:szCs w:val="24"/>
              </w:rPr>
              <w:t>运营管理</w:t>
            </w:r>
          </w:p>
        </w:tc>
        <w:tc>
          <w:tcPr>
            <w:tcW w:w="1730" w:type="dxa"/>
            <w:vAlign w:val="center"/>
          </w:tcPr>
          <w:p>
            <w:pPr>
              <w:adjustRightInd w:val="0"/>
              <w:snapToGrid w:val="0"/>
              <w:ind w:firstLine="0" w:firstLineChars="0"/>
              <w:jc w:val="center"/>
              <w:rPr>
                <w:szCs w:val="24"/>
              </w:rPr>
            </w:pPr>
            <w:r>
              <w:rPr>
                <w:rFonts w:hint="eastAsia"/>
                <w:szCs w:val="24"/>
              </w:rPr>
              <w:t>危废转移联单管理</w:t>
            </w:r>
          </w:p>
        </w:tc>
        <w:tc>
          <w:tcPr>
            <w:tcW w:w="3401" w:type="dxa"/>
            <w:vAlign w:val="center"/>
          </w:tcPr>
          <w:p>
            <w:pPr>
              <w:ind w:firstLine="0" w:firstLineChars="0"/>
              <w:jc w:val="left"/>
            </w:pPr>
            <w:r>
              <w:rPr>
                <w:rFonts w:hint="eastAsia"/>
              </w:rPr>
              <w:t>生活垃圾焚烧厂飞灰出厂以及至最终处置场所之间，须严格执行危险废物转移联单制度。执行不到位，转移联单记录存在缺失、错误，每发现一次扣1</w:t>
            </w:r>
            <w:r>
              <w:t>0</w:t>
            </w:r>
            <w:r>
              <w:rPr>
                <w:rFonts w:hint="eastAsia"/>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continue"/>
          </w:tcPr>
          <w:p>
            <w:pPr>
              <w:adjustRightInd w:val="0"/>
              <w:snapToGrid w:val="0"/>
              <w:ind w:firstLine="0" w:firstLineChars="0"/>
              <w:jc w:val="center"/>
              <w:rPr>
                <w:szCs w:val="24"/>
              </w:rPr>
            </w:pPr>
          </w:p>
        </w:tc>
        <w:tc>
          <w:tcPr>
            <w:tcW w:w="1580" w:type="dxa"/>
            <w:vMerge w:val="continue"/>
            <w:vAlign w:val="center"/>
          </w:tcPr>
          <w:p>
            <w:pPr>
              <w:adjustRightInd w:val="0"/>
              <w:snapToGrid w:val="0"/>
              <w:ind w:firstLine="0" w:firstLineChars="0"/>
              <w:jc w:val="center"/>
              <w:rPr>
                <w:szCs w:val="24"/>
              </w:rPr>
            </w:pPr>
          </w:p>
        </w:tc>
        <w:tc>
          <w:tcPr>
            <w:tcW w:w="1730" w:type="dxa"/>
            <w:vAlign w:val="center"/>
          </w:tcPr>
          <w:p>
            <w:pPr>
              <w:adjustRightInd w:val="0"/>
              <w:snapToGrid w:val="0"/>
              <w:ind w:firstLine="0" w:firstLineChars="0"/>
              <w:jc w:val="center"/>
              <w:rPr>
                <w:szCs w:val="24"/>
              </w:rPr>
            </w:pPr>
            <w:r>
              <w:rPr>
                <w:rFonts w:hint="eastAsia"/>
                <w:szCs w:val="24"/>
              </w:rPr>
              <w:t>制度管理</w:t>
            </w:r>
          </w:p>
        </w:tc>
        <w:tc>
          <w:tcPr>
            <w:tcW w:w="3401" w:type="dxa"/>
            <w:vAlign w:val="center"/>
          </w:tcPr>
          <w:p>
            <w:pPr>
              <w:ind w:firstLine="0" w:firstLineChars="0"/>
              <w:jc w:val="left"/>
            </w:pPr>
            <w:r>
              <w:rPr>
                <w:rFonts w:hint="eastAsia"/>
              </w:rPr>
              <w:t>建立完善的岗位操作规程、岗位管理制度、综合管理规章制度和应急预案，并严格执行。制度缺失，每发现一次扣5分。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continue"/>
          </w:tcPr>
          <w:p>
            <w:pPr>
              <w:adjustRightInd w:val="0"/>
              <w:snapToGrid w:val="0"/>
              <w:ind w:firstLine="0" w:firstLineChars="0"/>
              <w:jc w:val="center"/>
              <w:rPr>
                <w:szCs w:val="24"/>
              </w:rPr>
            </w:pPr>
          </w:p>
        </w:tc>
        <w:tc>
          <w:tcPr>
            <w:tcW w:w="1580" w:type="dxa"/>
            <w:vMerge w:val="continue"/>
            <w:vAlign w:val="center"/>
          </w:tcPr>
          <w:p>
            <w:pPr>
              <w:adjustRightInd w:val="0"/>
              <w:snapToGrid w:val="0"/>
              <w:ind w:firstLine="0" w:firstLineChars="0"/>
              <w:jc w:val="center"/>
              <w:rPr>
                <w:szCs w:val="24"/>
              </w:rPr>
            </w:pPr>
          </w:p>
        </w:tc>
        <w:tc>
          <w:tcPr>
            <w:tcW w:w="1730" w:type="dxa"/>
            <w:vAlign w:val="center"/>
          </w:tcPr>
          <w:p>
            <w:pPr>
              <w:adjustRightInd w:val="0"/>
              <w:snapToGrid w:val="0"/>
              <w:ind w:firstLine="0" w:firstLineChars="0"/>
              <w:jc w:val="center"/>
              <w:rPr>
                <w:szCs w:val="24"/>
              </w:rPr>
            </w:pPr>
            <w:r>
              <w:rPr>
                <w:rFonts w:hint="eastAsia"/>
                <w:szCs w:val="24"/>
              </w:rPr>
              <w:t>处置管理</w:t>
            </w:r>
          </w:p>
        </w:tc>
        <w:tc>
          <w:tcPr>
            <w:tcW w:w="3401" w:type="dxa"/>
            <w:vAlign w:val="center"/>
          </w:tcPr>
          <w:p>
            <w:pPr>
              <w:ind w:firstLine="0" w:firstLineChars="0"/>
              <w:jc w:val="left"/>
            </w:pPr>
            <w:r>
              <w:rPr>
                <w:rFonts w:hint="eastAsia"/>
              </w:rPr>
              <w:t>飞灰的装卸、贮存、处置环节必须保持密闭状态，不得泄漏于环境中，否则每发现一次扣5分。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continue"/>
          </w:tcPr>
          <w:p>
            <w:pPr>
              <w:adjustRightInd w:val="0"/>
              <w:snapToGrid w:val="0"/>
              <w:ind w:firstLine="0" w:firstLineChars="0"/>
              <w:jc w:val="center"/>
              <w:rPr>
                <w:szCs w:val="24"/>
              </w:rPr>
            </w:pPr>
          </w:p>
        </w:tc>
        <w:tc>
          <w:tcPr>
            <w:tcW w:w="1580" w:type="dxa"/>
            <w:vMerge w:val="continue"/>
            <w:vAlign w:val="center"/>
          </w:tcPr>
          <w:p>
            <w:pPr>
              <w:adjustRightInd w:val="0"/>
              <w:snapToGrid w:val="0"/>
              <w:ind w:firstLine="0" w:firstLineChars="0"/>
              <w:jc w:val="center"/>
              <w:rPr>
                <w:szCs w:val="24"/>
              </w:rPr>
            </w:pPr>
          </w:p>
        </w:tc>
        <w:tc>
          <w:tcPr>
            <w:tcW w:w="1730" w:type="dxa"/>
            <w:vAlign w:val="center"/>
          </w:tcPr>
          <w:p>
            <w:pPr>
              <w:adjustRightInd w:val="0"/>
              <w:snapToGrid w:val="0"/>
              <w:ind w:firstLine="0" w:firstLineChars="0"/>
              <w:jc w:val="center"/>
              <w:rPr>
                <w:szCs w:val="24"/>
              </w:rPr>
            </w:pPr>
            <w:r>
              <w:rPr>
                <w:rFonts w:hint="eastAsia"/>
                <w:szCs w:val="24"/>
              </w:rPr>
              <w:t>稳定化处理</w:t>
            </w:r>
          </w:p>
        </w:tc>
        <w:tc>
          <w:tcPr>
            <w:tcW w:w="3401" w:type="dxa"/>
            <w:vAlign w:val="center"/>
          </w:tcPr>
          <w:p>
            <w:pPr>
              <w:ind w:firstLine="0" w:firstLineChars="0"/>
              <w:jc w:val="left"/>
            </w:pPr>
            <w:r>
              <w:rPr>
                <w:rFonts w:hint="eastAsia"/>
              </w:rPr>
              <w:t>按标准规范要求进行飞灰稳定化处理，处理后的飞灰应达到</w:t>
            </w:r>
            <w:r>
              <w:t>GB16889</w:t>
            </w:r>
            <w:r>
              <w:rPr>
                <w:rFonts w:hint="eastAsia"/>
              </w:rPr>
              <w:t>现行标准进入填埋场处理条件，不达标准入场填埋每发现一次扣5分；飞灰稳定化物须与生活垃圾分区填埋，未按规定填埋的每发现一次扣</w:t>
            </w:r>
            <w:r>
              <w:t>5</w:t>
            </w:r>
            <w:r>
              <w:rPr>
                <w:rFonts w:hint="eastAsia"/>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continue"/>
          </w:tcPr>
          <w:p>
            <w:pPr>
              <w:adjustRightInd w:val="0"/>
              <w:snapToGrid w:val="0"/>
              <w:ind w:firstLine="0" w:firstLineChars="0"/>
              <w:jc w:val="center"/>
              <w:rPr>
                <w:szCs w:val="24"/>
              </w:rPr>
            </w:pPr>
          </w:p>
        </w:tc>
        <w:tc>
          <w:tcPr>
            <w:tcW w:w="1580" w:type="dxa"/>
            <w:vMerge w:val="restart"/>
            <w:vAlign w:val="center"/>
          </w:tcPr>
          <w:p>
            <w:pPr>
              <w:adjustRightInd w:val="0"/>
              <w:snapToGrid w:val="0"/>
              <w:ind w:firstLine="0" w:firstLineChars="0"/>
              <w:jc w:val="center"/>
              <w:rPr>
                <w:szCs w:val="24"/>
              </w:rPr>
            </w:pPr>
            <w:r>
              <w:rPr>
                <w:rFonts w:hint="eastAsia"/>
                <w:szCs w:val="24"/>
              </w:rPr>
              <w:t>（三）</w:t>
            </w:r>
          </w:p>
          <w:p>
            <w:pPr>
              <w:adjustRightInd w:val="0"/>
              <w:snapToGrid w:val="0"/>
              <w:ind w:firstLine="0" w:firstLineChars="0"/>
              <w:jc w:val="center"/>
              <w:rPr>
                <w:szCs w:val="24"/>
              </w:rPr>
            </w:pPr>
            <w:r>
              <w:rPr>
                <w:szCs w:val="24"/>
              </w:rPr>
              <w:t>数据报表</w:t>
            </w:r>
          </w:p>
        </w:tc>
        <w:tc>
          <w:tcPr>
            <w:tcW w:w="1730" w:type="dxa"/>
            <w:vAlign w:val="center"/>
          </w:tcPr>
          <w:p>
            <w:pPr>
              <w:adjustRightInd w:val="0"/>
              <w:snapToGrid w:val="0"/>
              <w:ind w:firstLine="0" w:firstLineChars="0"/>
              <w:jc w:val="center"/>
              <w:rPr>
                <w:szCs w:val="24"/>
              </w:rPr>
            </w:pPr>
            <w:r>
              <w:rPr>
                <w:szCs w:val="24"/>
              </w:rPr>
              <w:t>报送及时性</w:t>
            </w:r>
          </w:p>
        </w:tc>
        <w:tc>
          <w:tcPr>
            <w:tcW w:w="3401" w:type="dxa"/>
            <w:vAlign w:val="center"/>
          </w:tcPr>
          <w:p>
            <w:pPr>
              <w:ind w:firstLine="0" w:firstLineChars="0"/>
              <w:jc w:val="left"/>
            </w:pPr>
            <w:r>
              <w:t>不按规定时间上报数据、报表、设施、设备检修计划，每次扣2分；没有报送的，每次扣5分。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continue"/>
          </w:tcPr>
          <w:p>
            <w:pPr>
              <w:adjustRightInd w:val="0"/>
              <w:snapToGrid w:val="0"/>
              <w:ind w:firstLine="0" w:firstLineChars="0"/>
              <w:jc w:val="center"/>
              <w:rPr>
                <w:szCs w:val="24"/>
              </w:rPr>
            </w:pPr>
          </w:p>
        </w:tc>
        <w:tc>
          <w:tcPr>
            <w:tcW w:w="1580" w:type="dxa"/>
            <w:vMerge w:val="continue"/>
            <w:vAlign w:val="center"/>
          </w:tcPr>
          <w:p>
            <w:pPr>
              <w:adjustRightInd w:val="0"/>
              <w:snapToGrid w:val="0"/>
              <w:ind w:firstLine="0" w:firstLineChars="0"/>
              <w:jc w:val="center"/>
              <w:rPr>
                <w:szCs w:val="24"/>
              </w:rPr>
            </w:pPr>
          </w:p>
        </w:tc>
        <w:tc>
          <w:tcPr>
            <w:tcW w:w="1730" w:type="dxa"/>
            <w:vAlign w:val="center"/>
          </w:tcPr>
          <w:p>
            <w:pPr>
              <w:adjustRightInd w:val="0"/>
              <w:snapToGrid w:val="0"/>
              <w:ind w:firstLine="0" w:firstLineChars="0"/>
              <w:jc w:val="center"/>
              <w:rPr>
                <w:szCs w:val="24"/>
              </w:rPr>
            </w:pPr>
            <w:r>
              <w:rPr>
                <w:szCs w:val="24"/>
              </w:rPr>
              <w:t>数据报表准确性</w:t>
            </w:r>
          </w:p>
        </w:tc>
        <w:tc>
          <w:tcPr>
            <w:tcW w:w="3401" w:type="dxa"/>
            <w:vAlign w:val="center"/>
          </w:tcPr>
          <w:p>
            <w:pPr>
              <w:ind w:firstLine="0" w:firstLineChars="0"/>
              <w:jc w:val="left"/>
            </w:pPr>
            <w:r>
              <w:rPr>
                <w:rFonts w:hint="eastAsia"/>
              </w:rPr>
              <w:t>飞灰</w:t>
            </w:r>
            <w:r>
              <w:t>处理量数据</w:t>
            </w:r>
            <w:r>
              <w:rPr>
                <w:rFonts w:hint="eastAsia"/>
                <w:lang w:eastAsia="zh-CN"/>
              </w:rPr>
              <w:t>弄虚</w:t>
            </w:r>
            <w:r>
              <w:t>作假，每次扣20分；报表项目不按要求填报，每项每次扣1分</w:t>
            </w:r>
            <w:r>
              <w:rPr>
                <w:rFonts w:hint="eastAsia"/>
              </w:rPr>
              <w:t>；报表数据不清晰、不准确，每次扣2分。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continue"/>
          </w:tcPr>
          <w:p>
            <w:pPr>
              <w:adjustRightInd w:val="0"/>
              <w:snapToGrid w:val="0"/>
              <w:ind w:firstLine="174" w:firstLineChars="83"/>
              <w:jc w:val="center"/>
              <w:rPr>
                <w:szCs w:val="24"/>
              </w:rPr>
            </w:pPr>
          </w:p>
        </w:tc>
        <w:tc>
          <w:tcPr>
            <w:tcW w:w="1580" w:type="dxa"/>
            <w:vMerge w:val="restart"/>
            <w:vAlign w:val="center"/>
          </w:tcPr>
          <w:p>
            <w:pPr>
              <w:adjustRightInd w:val="0"/>
              <w:snapToGrid w:val="0"/>
              <w:ind w:left="0" w:firstLine="0" w:firstLineChars="0"/>
              <w:jc w:val="center"/>
              <w:rPr>
                <w:szCs w:val="24"/>
              </w:rPr>
            </w:pPr>
            <w:r>
              <w:rPr>
                <w:rFonts w:hint="eastAsia"/>
                <w:szCs w:val="24"/>
              </w:rPr>
              <w:t>（四）</w:t>
            </w:r>
          </w:p>
          <w:p>
            <w:pPr>
              <w:adjustRightInd w:val="0"/>
              <w:snapToGrid w:val="0"/>
              <w:ind w:left="0" w:firstLine="0" w:firstLineChars="0"/>
              <w:jc w:val="center"/>
              <w:rPr>
                <w:szCs w:val="24"/>
              </w:rPr>
            </w:pPr>
            <w:r>
              <w:rPr>
                <w:szCs w:val="24"/>
              </w:rPr>
              <w:t>设备设施</w:t>
            </w:r>
          </w:p>
        </w:tc>
        <w:tc>
          <w:tcPr>
            <w:tcW w:w="1730" w:type="dxa"/>
            <w:vAlign w:val="center"/>
          </w:tcPr>
          <w:p>
            <w:pPr>
              <w:adjustRightInd w:val="0"/>
              <w:snapToGrid w:val="0"/>
              <w:ind w:firstLine="0" w:firstLineChars="0"/>
              <w:jc w:val="center"/>
              <w:rPr>
                <w:szCs w:val="24"/>
              </w:rPr>
            </w:pPr>
            <w:r>
              <w:rPr>
                <w:szCs w:val="24"/>
              </w:rPr>
              <w:t>年度检修计划报送</w:t>
            </w:r>
          </w:p>
        </w:tc>
        <w:tc>
          <w:tcPr>
            <w:tcW w:w="3401" w:type="dxa"/>
            <w:vAlign w:val="center"/>
          </w:tcPr>
          <w:p>
            <w:pPr>
              <w:ind w:firstLine="0" w:firstLineChars="0"/>
              <w:jc w:val="left"/>
            </w:pPr>
            <w:r>
              <w:t>根据</w:t>
            </w:r>
            <w:r>
              <w:rPr>
                <w:rFonts w:hint="eastAsia"/>
              </w:rPr>
              <w:t>飞灰</w:t>
            </w:r>
            <w:r>
              <w:t>厂的运营情况，制定相关设备年度检修计划，没有报送的，每月扣5分。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continue"/>
          </w:tcPr>
          <w:p>
            <w:pPr>
              <w:adjustRightInd w:val="0"/>
              <w:snapToGrid w:val="0"/>
              <w:ind w:firstLine="0" w:firstLineChars="0"/>
              <w:jc w:val="center"/>
              <w:rPr>
                <w:szCs w:val="24"/>
              </w:rPr>
            </w:pPr>
          </w:p>
        </w:tc>
        <w:tc>
          <w:tcPr>
            <w:tcW w:w="1580" w:type="dxa"/>
            <w:vMerge w:val="continue"/>
            <w:vAlign w:val="center"/>
          </w:tcPr>
          <w:p>
            <w:pPr>
              <w:adjustRightInd w:val="0"/>
              <w:snapToGrid w:val="0"/>
              <w:ind w:firstLine="0" w:firstLineChars="0"/>
              <w:jc w:val="center"/>
              <w:rPr>
                <w:szCs w:val="24"/>
              </w:rPr>
            </w:pPr>
          </w:p>
        </w:tc>
        <w:tc>
          <w:tcPr>
            <w:tcW w:w="1730" w:type="dxa"/>
            <w:vAlign w:val="center"/>
          </w:tcPr>
          <w:p>
            <w:pPr>
              <w:adjustRightInd w:val="0"/>
              <w:snapToGrid w:val="0"/>
              <w:ind w:firstLine="0" w:firstLineChars="0"/>
              <w:jc w:val="center"/>
              <w:rPr>
                <w:szCs w:val="24"/>
              </w:rPr>
            </w:pPr>
            <w:r>
              <w:rPr>
                <w:szCs w:val="24"/>
              </w:rPr>
              <w:t>用途</w:t>
            </w:r>
          </w:p>
        </w:tc>
        <w:tc>
          <w:tcPr>
            <w:tcW w:w="3401" w:type="dxa"/>
            <w:vAlign w:val="center"/>
          </w:tcPr>
          <w:p>
            <w:pPr>
              <w:ind w:firstLine="0" w:firstLineChars="0"/>
              <w:jc w:val="left"/>
            </w:pPr>
            <w:r>
              <w:t>擅自将</w:t>
            </w:r>
            <w:r>
              <w:rPr>
                <w:rFonts w:hint="eastAsia"/>
              </w:rPr>
              <w:t>飞灰运输及处置</w:t>
            </w:r>
            <w:r>
              <w:t>设施设备用于</w:t>
            </w:r>
            <w:r>
              <w:rPr>
                <w:rFonts w:hint="eastAsia"/>
              </w:rPr>
              <w:t>飞灰稳定化处理</w:t>
            </w:r>
            <w:r>
              <w:t>以外的其它用途，每台次扣5分。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continue"/>
          </w:tcPr>
          <w:p>
            <w:pPr>
              <w:adjustRightInd w:val="0"/>
              <w:snapToGrid w:val="0"/>
              <w:ind w:firstLine="0" w:firstLineChars="0"/>
              <w:jc w:val="center"/>
              <w:rPr>
                <w:szCs w:val="24"/>
              </w:rPr>
            </w:pPr>
          </w:p>
        </w:tc>
        <w:tc>
          <w:tcPr>
            <w:tcW w:w="1580" w:type="dxa"/>
            <w:vMerge w:val="continue"/>
            <w:vAlign w:val="center"/>
          </w:tcPr>
          <w:p>
            <w:pPr>
              <w:adjustRightInd w:val="0"/>
              <w:snapToGrid w:val="0"/>
              <w:ind w:firstLine="0" w:firstLineChars="0"/>
              <w:jc w:val="center"/>
              <w:rPr>
                <w:szCs w:val="24"/>
              </w:rPr>
            </w:pPr>
          </w:p>
        </w:tc>
        <w:tc>
          <w:tcPr>
            <w:tcW w:w="1730" w:type="dxa"/>
            <w:vAlign w:val="center"/>
          </w:tcPr>
          <w:p>
            <w:pPr>
              <w:adjustRightInd w:val="0"/>
              <w:snapToGrid w:val="0"/>
              <w:ind w:firstLine="0" w:firstLineChars="0"/>
              <w:jc w:val="center"/>
              <w:rPr>
                <w:szCs w:val="24"/>
              </w:rPr>
            </w:pPr>
            <w:r>
              <w:rPr>
                <w:szCs w:val="24"/>
              </w:rPr>
              <w:t>维护保养</w:t>
            </w:r>
          </w:p>
        </w:tc>
        <w:tc>
          <w:tcPr>
            <w:tcW w:w="3401" w:type="dxa"/>
            <w:vAlign w:val="center"/>
          </w:tcPr>
          <w:p>
            <w:pPr>
              <w:ind w:firstLine="0" w:firstLineChars="0"/>
              <w:jc w:val="left"/>
            </w:pPr>
            <w:r>
              <w:t>不按年度检修计划对设施设备进行维护保养，每台次扣2分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continue"/>
          </w:tcPr>
          <w:p>
            <w:pPr>
              <w:adjustRightInd w:val="0"/>
              <w:snapToGrid w:val="0"/>
              <w:ind w:firstLine="0" w:firstLineChars="0"/>
              <w:jc w:val="center"/>
              <w:rPr>
                <w:szCs w:val="24"/>
              </w:rPr>
            </w:pPr>
          </w:p>
        </w:tc>
        <w:tc>
          <w:tcPr>
            <w:tcW w:w="1580" w:type="dxa"/>
            <w:vMerge w:val="continue"/>
            <w:vAlign w:val="center"/>
          </w:tcPr>
          <w:p>
            <w:pPr>
              <w:adjustRightInd w:val="0"/>
              <w:snapToGrid w:val="0"/>
              <w:ind w:firstLine="0" w:firstLineChars="0"/>
              <w:jc w:val="center"/>
              <w:rPr>
                <w:szCs w:val="24"/>
              </w:rPr>
            </w:pPr>
          </w:p>
        </w:tc>
        <w:tc>
          <w:tcPr>
            <w:tcW w:w="1730" w:type="dxa"/>
            <w:vAlign w:val="center"/>
          </w:tcPr>
          <w:p>
            <w:pPr>
              <w:adjustRightInd w:val="0"/>
              <w:snapToGrid w:val="0"/>
              <w:ind w:firstLine="0" w:firstLineChars="0"/>
              <w:jc w:val="center"/>
              <w:rPr>
                <w:szCs w:val="24"/>
              </w:rPr>
            </w:pPr>
            <w:r>
              <w:rPr>
                <w:szCs w:val="24"/>
              </w:rPr>
              <w:t>完好情况</w:t>
            </w:r>
          </w:p>
        </w:tc>
        <w:tc>
          <w:tcPr>
            <w:tcW w:w="3401" w:type="dxa"/>
            <w:vAlign w:val="center"/>
          </w:tcPr>
          <w:p>
            <w:pPr>
              <w:ind w:firstLine="0" w:firstLineChars="0"/>
              <w:jc w:val="left"/>
            </w:pPr>
            <w:r>
              <w:t>设施设备应能正常启动或使用，不符合此要求的，每台次扣2分。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Align w:val="center"/>
          </w:tcPr>
          <w:p>
            <w:pPr>
              <w:adjustRightInd w:val="0"/>
              <w:snapToGrid w:val="0"/>
              <w:ind w:firstLine="0" w:firstLineChars="0"/>
              <w:jc w:val="center"/>
              <w:rPr>
                <w:szCs w:val="24"/>
              </w:rPr>
            </w:pPr>
            <w:r>
              <w:rPr>
                <w:rFonts w:hint="eastAsia"/>
                <w:szCs w:val="24"/>
              </w:rPr>
              <w:t>二、</w:t>
            </w:r>
            <w:r>
              <w:rPr>
                <w:szCs w:val="24"/>
              </w:rPr>
              <w:t>安全生产</w:t>
            </w:r>
          </w:p>
        </w:tc>
        <w:tc>
          <w:tcPr>
            <w:tcW w:w="1580" w:type="dxa"/>
            <w:vAlign w:val="center"/>
          </w:tcPr>
          <w:p>
            <w:pPr>
              <w:adjustRightInd w:val="0"/>
              <w:snapToGrid w:val="0"/>
              <w:ind w:firstLine="0" w:firstLineChars="0"/>
              <w:jc w:val="center"/>
              <w:rPr>
                <w:szCs w:val="24"/>
              </w:rPr>
            </w:pPr>
            <w:r>
              <w:rPr>
                <w:szCs w:val="24"/>
              </w:rPr>
              <w:t>安全生产</w:t>
            </w:r>
          </w:p>
        </w:tc>
        <w:tc>
          <w:tcPr>
            <w:tcW w:w="1730" w:type="dxa"/>
            <w:vAlign w:val="center"/>
          </w:tcPr>
          <w:p>
            <w:pPr>
              <w:adjustRightInd w:val="0"/>
              <w:snapToGrid w:val="0"/>
              <w:ind w:firstLine="0" w:firstLineChars="0"/>
              <w:jc w:val="center"/>
              <w:rPr>
                <w:szCs w:val="24"/>
              </w:rPr>
            </w:pPr>
            <w:r>
              <w:rPr>
                <w:szCs w:val="24"/>
              </w:rPr>
              <w:t>安全生产</w:t>
            </w:r>
          </w:p>
        </w:tc>
        <w:tc>
          <w:tcPr>
            <w:tcW w:w="3401" w:type="dxa"/>
            <w:vAlign w:val="center"/>
          </w:tcPr>
          <w:p>
            <w:pPr>
              <w:ind w:firstLine="0" w:firstLineChars="0"/>
              <w:jc w:val="left"/>
            </w:pPr>
            <w:r>
              <w:t>安全措施、标识不健全、不落实或发现事故隐患不及时进行整改，每次扣5分；由于违规作业造成安全事故，视情节轻重，每宗扣5-20分；隐瞒事故，每宗扣20分。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Align w:val="center"/>
          </w:tcPr>
          <w:p>
            <w:pPr>
              <w:adjustRightInd w:val="0"/>
              <w:snapToGrid w:val="0"/>
              <w:ind w:firstLine="0" w:firstLineChars="0"/>
              <w:jc w:val="center"/>
              <w:rPr>
                <w:szCs w:val="24"/>
              </w:rPr>
            </w:pPr>
            <w:r>
              <w:rPr>
                <w:rFonts w:hint="eastAsia"/>
                <w:szCs w:val="24"/>
              </w:rPr>
              <w:t>三、环保措施</w:t>
            </w:r>
          </w:p>
        </w:tc>
        <w:tc>
          <w:tcPr>
            <w:tcW w:w="1580" w:type="dxa"/>
            <w:vAlign w:val="center"/>
          </w:tcPr>
          <w:p>
            <w:pPr>
              <w:adjustRightInd w:val="0"/>
              <w:snapToGrid w:val="0"/>
              <w:ind w:firstLine="0" w:firstLineChars="0"/>
              <w:jc w:val="center"/>
              <w:rPr>
                <w:szCs w:val="24"/>
              </w:rPr>
            </w:pPr>
            <w:r>
              <w:rPr>
                <w:rFonts w:hint="eastAsia"/>
                <w:szCs w:val="24"/>
              </w:rPr>
              <w:t>（一）</w:t>
            </w:r>
          </w:p>
          <w:p>
            <w:pPr>
              <w:adjustRightInd w:val="0"/>
              <w:snapToGrid w:val="0"/>
              <w:ind w:firstLine="0" w:firstLineChars="0"/>
              <w:jc w:val="center"/>
              <w:rPr>
                <w:szCs w:val="24"/>
              </w:rPr>
            </w:pPr>
            <w:r>
              <w:rPr>
                <w:szCs w:val="24"/>
              </w:rPr>
              <w:t>环境监测</w:t>
            </w:r>
          </w:p>
        </w:tc>
        <w:tc>
          <w:tcPr>
            <w:tcW w:w="1730" w:type="dxa"/>
            <w:vAlign w:val="center"/>
          </w:tcPr>
          <w:p>
            <w:pPr>
              <w:adjustRightInd w:val="0"/>
              <w:snapToGrid w:val="0"/>
              <w:ind w:firstLine="0" w:firstLineChars="0"/>
              <w:jc w:val="center"/>
              <w:rPr>
                <w:szCs w:val="24"/>
              </w:rPr>
            </w:pPr>
            <w:r>
              <w:rPr>
                <w:szCs w:val="24"/>
              </w:rPr>
              <w:t>监测数据</w:t>
            </w:r>
          </w:p>
        </w:tc>
        <w:tc>
          <w:tcPr>
            <w:tcW w:w="3401" w:type="dxa"/>
            <w:vAlign w:val="center"/>
          </w:tcPr>
          <w:p>
            <w:pPr>
              <w:ind w:firstLine="0" w:firstLineChars="0"/>
              <w:jc w:val="left"/>
            </w:pPr>
            <w:r>
              <w:t>不按规定频率、要求进行环境监测</w:t>
            </w:r>
            <w:r>
              <w:rPr>
                <w:rFonts w:hint="eastAsia"/>
              </w:rPr>
              <w:t>及飞灰稳定化物检测，</w:t>
            </w:r>
            <w:r>
              <w:t>每次扣15分；监测数据弄虚作假 每次扣20分。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tcPr>
          <w:p>
            <w:pPr>
              <w:adjustRightInd w:val="0"/>
              <w:snapToGrid w:val="0"/>
              <w:ind w:firstLine="0" w:firstLineChars="0"/>
              <w:jc w:val="center"/>
              <w:rPr>
                <w:szCs w:val="24"/>
              </w:rPr>
            </w:pPr>
          </w:p>
        </w:tc>
        <w:tc>
          <w:tcPr>
            <w:tcW w:w="1580" w:type="dxa"/>
            <w:vAlign w:val="center"/>
          </w:tcPr>
          <w:p>
            <w:pPr>
              <w:adjustRightInd w:val="0"/>
              <w:snapToGrid w:val="0"/>
              <w:ind w:firstLine="0" w:firstLineChars="0"/>
              <w:jc w:val="center"/>
              <w:rPr>
                <w:szCs w:val="24"/>
              </w:rPr>
            </w:pPr>
            <w:r>
              <w:rPr>
                <w:rFonts w:hint="eastAsia"/>
                <w:szCs w:val="24"/>
              </w:rPr>
              <w:t>（二）</w:t>
            </w:r>
          </w:p>
          <w:p>
            <w:pPr>
              <w:adjustRightInd w:val="0"/>
              <w:snapToGrid w:val="0"/>
              <w:ind w:firstLine="0" w:firstLineChars="0"/>
              <w:jc w:val="center"/>
              <w:rPr>
                <w:szCs w:val="24"/>
              </w:rPr>
            </w:pPr>
            <w:r>
              <w:rPr>
                <w:rFonts w:hint="eastAsia"/>
                <w:szCs w:val="24"/>
              </w:rPr>
              <w:t>废物处理</w:t>
            </w:r>
          </w:p>
        </w:tc>
        <w:tc>
          <w:tcPr>
            <w:tcW w:w="1730" w:type="dxa"/>
            <w:vAlign w:val="center"/>
          </w:tcPr>
          <w:p>
            <w:pPr>
              <w:adjustRightInd w:val="0"/>
              <w:snapToGrid w:val="0"/>
              <w:ind w:firstLine="0" w:firstLineChars="0"/>
              <w:jc w:val="center"/>
              <w:rPr>
                <w:szCs w:val="24"/>
              </w:rPr>
            </w:pPr>
            <w:r>
              <w:rPr>
                <w:rFonts w:hint="eastAsia"/>
                <w:szCs w:val="24"/>
              </w:rPr>
              <w:t>废物处理</w:t>
            </w:r>
          </w:p>
        </w:tc>
        <w:tc>
          <w:tcPr>
            <w:tcW w:w="3401" w:type="dxa"/>
            <w:vAlign w:val="center"/>
          </w:tcPr>
          <w:p>
            <w:pPr>
              <w:ind w:firstLine="0" w:firstLineChars="0"/>
              <w:jc w:val="left"/>
            </w:pPr>
            <w:r>
              <w:rPr>
                <w:rFonts w:hint="eastAsia"/>
              </w:rPr>
              <w:t>飞灰随意倾倒、丢弃、遗撒，每发现一次扣3分；对于厂区内场地冲刷、设备清洗等混入飞灰的污水随意排放，每发现一次扣3分。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Align w:val="center"/>
          </w:tcPr>
          <w:p>
            <w:pPr>
              <w:adjustRightInd w:val="0"/>
              <w:snapToGrid w:val="0"/>
              <w:ind w:firstLine="0" w:firstLineChars="0"/>
              <w:jc w:val="center"/>
              <w:rPr>
                <w:szCs w:val="24"/>
              </w:rPr>
            </w:pPr>
            <w:r>
              <w:rPr>
                <w:rFonts w:hint="eastAsia"/>
                <w:szCs w:val="24"/>
              </w:rPr>
              <w:t>四、应急预案</w:t>
            </w:r>
          </w:p>
        </w:tc>
        <w:tc>
          <w:tcPr>
            <w:tcW w:w="1580" w:type="dxa"/>
            <w:vAlign w:val="center"/>
          </w:tcPr>
          <w:p>
            <w:pPr>
              <w:adjustRightInd w:val="0"/>
              <w:snapToGrid w:val="0"/>
              <w:ind w:firstLine="0" w:firstLineChars="0"/>
              <w:jc w:val="center"/>
              <w:rPr>
                <w:szCs w:val="24"/>
              </w:rPr>
            </w:pPr>
            <w:r>
              <w:rPr>
                <w:rFonts w:hint="eastAsia"/>
              </w:rPr>
              <w:t>应急管理</w:t>
            </w:r>
          </w:p>
        </w:tc>
        <w:tc>
          <w:tcPr>
            <w:tcW w:w="1730" w:type="dxa"/>
            <w:vAlign w:val="center"/>
          </w:tcPr>
          <w:p>
            <w:pPr>
              <w:adjustRightInd w:val="0"/>
              <w:snapToGrid w:val="0"/>
              <w:ind w:firstLine="0" w:firstLineChars="0"/>
              <w:jc w:val="center"/>
              <w:rPr>
                <w:szCs w:val="24"/>
              </w:rPr>
            </w:pPr>
            <w:r>
              <w:t>应急预案</w:t>
            </w:r>
          </w:p>
        </w:tc>
        <w:tc>
          <w:tcPr>
            <w:tcW w:w="3401" w:type="dxa"/>
            <w:vAlign w:val="center"/>
          </w:tcPr>
          <w:p>
            <w:pPr>
              <w:ind w:firstLine="0" w:firstLineChars="0"/>
              <w:jc w:val="left"/>
            </w:pPr>
            <w:r>
              <w:t>建立完善的</w:t>
            </w:r>
            <w:r>
              <w:rPr>
                <w:rFonts w:hint="eastAsia"/>
              </w:rPr>
              <w:t>飞灰稳定化处理中心</w:t>
            </w:r>
            <w:r>
              <w:t>安全应急预案，并定期组织演练，得满分；未建立完善的</w:t>
            </w:r>
            <w:r>
              <w:rPr>
                <w:rFonts w:hint="eastAsia"/>
              </w:rPr>
              <w:t>飞灰处理</w:t>
            </w:r>
            <w:r>
              <w:t>应急预案，每次扣5分；有预案，但未针对预案组织职工定期演练，每次扣2分</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restart"/>
            <w:vAlign w:val="center"/>
          </w:tcPr>
          <w:p>
            <w:pPr>
              <w:adjustRightInd w:val="0"/>
              <w:snapToGrid w:val="0"/>
              <w:ind w:firstLine="0" w:firstLineChars="0"/>
              <w:jc w:val="center"/>
              <w:rPr>
                <w:szCs w:val="24"/>
              </w:rPr>
            </w:pPr>
            <w:r>
              <w:rPr>
                <w:rFonts w:hint="eastAsia"/>
                <w:szCs w:val="24"/>
              </w:rPr>
              <w:t>五、日常管理</w:t>
            </w:r>
          </w:p>
        </w:tc>
        <w:tc>
          <w:tcPr>
            <w:tcW w:w="1580" w:type="dxa"/>
            <w:vAlign w:val="center"/>
          </w:tcPr>
          <w:p>
            <w:pPr>
              <w:adjustRightInd w:val="0"/>
              <w:snapToGrid w:val="0"/>
              <w:ind w:firstLine="0" w:firstLineChars="0"/>
              <w:jc w:val="center"/>
              <w:rPr>
                <w:szCs w:val="24"/>
              </w:rPr>
            </w:pPr>
            <w:r>
              <w:rPr>
                <w:rFonts w:hint="eastAsia"/>
                <w:szCs w:val="28"/>
              </w:rPr>
              <w:t>（一）</w:t>
            </w:r>
            <w:r>
              <w:rPr>
                <w:szCs w:val="24"/>
              </w:rPr>
              <w:t>环境卫生</w:t>
            </w:r>
          </w:p>
        </w:tc>
        <w:tc>
          <w:tcPr>
            <w:tcW w:w="1730" w:type="dxa"/>
            <w:vAlign w:val="center"/>
          </w:tcPr>
          <w:p>
            <w:pPr>
              <w:adjustRightInd w:val="0"/>
              <w:snapToGrid w:val="0"/>
              <w:ind w:firstLine="0" w:firstLineChars="0"/>
              <w:jc w:val="center"/>
              <w:rPr>
                <w:szCs w:val="24"/>
              </w:rPr>
            </w:pPr>
            <w:r>
              <w:rPr>
                <w:szCs w:val="24"/>
              </w:rPr>
              <w:t>环境卫生</w:t>
            </w:r>
          </w:p>
        </w:tc>
        <w:tc>
          <w:tcPr>
            <w:tcW w:w="3401" w:type="dxa"/>
          </w:tcPr>
          <w:p>
            <w:pPr>
              <w:ind w:firstLine="0" w:firstLineChars="0"/>
              <w:jc w:val="left"/>
            </w:pPr>
            <w:r>
              <w:rPr>
                <w:rFonts w:hint="eastAsia"/>
              </w:rPr>
              <w:t>厂区内地面有飞灰散落、积存及污水溢流现象</w:t>
            </w:r>
            <w:r>
              <w:t>，每次扣</w:t>
            </w:r>
            <w:r>
              <w:rPr>
                <w:rFonts w:hint="eastAsia"/>
              </w:rPr>
              <w:t>2</w:t>
            </w:r>
            <w:r>
              <w:t>分；排水沟堵塞不及时清疏，每次扣1分。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580" w:type="dxa"/>
            <w:vMerge w:val="continue"/>
            <w:vAlign w:val="center"/>
          </w:tcPr>
          <w:p>
            <w:pPr>
              <w:adjustRightInd w:val="0"/>
              <w:snapToGrid w:val="0"/>
              <w:ind w:firstLine="0" w:firstLineChars="0"/>
              <w:jc w:val="center"/>
              <w:rPr>
                <w:szCs w:val="24"/>
              </w:rPr>
            </w:pPr>
          </w:p>
        </w:tc>
        <w:tc>
          <w:tcPr>
            <w:tcW w:w="1580" w:type="dxa"/>
            <w:vAlign w:val="center"/>
          </w:tcPr>
          <w:p>
            <w:pPr>
              <w:adjustRightInd w:val="0"/>
              <w:snapToGrid w:val="0"/>
              <w:ind w:firstLine="0" w:firstLineChars="0"/>
              <w:jc w:val="center"/>
              <w:rPr>
                <w:szCs w:val="24"/>
              </w:rPr>
            </w:pPr>
            <w:r>
              <w:rPr>
                <w:rFonts w:hint="eastAsia"/>
                <w:szCs w:val="28"/>
              </w:rPr>
              <w:t>（二）其他</w:t>
            </w:r>
          </w:p>
        </w:tc>
        <w:tc>
          <w:tcPr>
            <w:tcW w:w="1730" w:type="dxa"/>
            <w:vAlign w:val="center"/>
          </w:tcPr>
          <w:p>
            <w:pPr>
              <w:adjustRightInd w:val="0"/>
              <w:snapToGrid w:val="0"/>
              <w:ind w:firstLine="0" w:firstLineChars="0"/>
              <w:jc w:val="center"/>
              <w:rPr>
                <w:szCs w:val="24"/>
              </w:rPr>
            </w:pPr>
            <w:r>
              <w:rPr>
                <w:rFonts w:hint="eastAsia"/>
                <w:szCs w:val="28"/>
              </w:rPr>
              <w:t>其他</w:t>
            </w:r>
          </w:p>
        </w:tc>
        <w:tc>
          <w:tcPr>
            <w:tcW w:w="3401" w:type="dxa"/>
          </w:tcPr>
          <w:p>
            <w:pPr>
              <w:ind w:firstLine="0" w:firstLineChars="0"/>
              <w:jc w:val="left"/>
            </w:pPr>
            <w:r>
              <w:rPr>
                <w:szCs w:val="28"/>
              </w:rPr>
              <w:t>不遵守垃圾处理基地相关管理制度(如</w:t>
            </w:r>
            <w:r>
              <w:rPr>
                <w:rFonts w:hint="eastAsia"/>
                <w:szCs w:val="28"/>
              </w:rPr>
              <w:t>遵守</w:t>
            </w:r>
            <w:r>
              <w:rPr>
                <w:szCs w:val="28"/>
              </w:rPr>
              <w:t>宿舍楼管理制度等)，每发现一次扣0.5分</w:t>
            </w:r>
            <w:r>
              <w:rPr>
                <w:rFonts w:hint="eastAsia"/>
              </w:rPr>
              <w:t>。</w:t>
            </w:r>
          </w:p>
        </w:tc>
      </w:tr>
    </w:tbl>
    <w:p>
      <w:pPr>
        <w:pStyle w:val="4"/>
        <w:ind w:left="0" w:firstLine="0" w:firstLineChars="0"/>
        <w:rPr>
          <w:rFonts w:ascii="Calibri" w:hAnsi="Calibri"/>
        </w:rPr>
      </w:pPr>
    </w:p>
    <w:p>
      <w:pPr>
        <w:shd w:val="clear" w:color="auto" w:fill="auto"/>
        <w:spacing w:line="240" w:lineRule="auto"/>
        <w:ind w:left="0" w:right="0" w:firstLine="0" w:firstLineChars="0"/>
        <w:jc w:val="left"/>
        <w:rPr>
          <w:rFonts w:ascii="Calibri" w:hAnsi="Calibri" w:cs="宋体"/>
          <w:sz w:val="24"/>
          <w:szCs w:val="24"/>
        </w:rPr>
      </w:pPr>
      <w:r>
        <w:rPr>
          <w:rFonts w:ascii="Calibri" w:hAnsi="Calibri"/>
        </w:rPr>
        <w:br w:type="page"/>
      </w:r>
    </w:p>
    <w:p>
      <w:pPr>
        <w:pStyle w:val="5"/>
        <w:ind w:firstLine="562"/>
        <w:jc w:val="center"/>
        <w:rPr>
          <w:rFonts w:ascii="Calibri" w:hAnsi="Calibri"/>
          <w:color w:val="auto"/>
          <w:sz w:val="28"/>
          <w:szCs w:val="28"/>
        </w:rPr>
      </w:pPr>
      <w:r>
        <w:rPr>
          <w:rFonts w:hint="eastAsia"/>
          <w:sz w:val="28"/>
          <w:szCs w:val="28"/>
        </w:rPr>
        <w:t>表</w:t>
      </w:r>
      <w:r>
        <w:rPr>
          <w:sz w:val="28"/>
          <w:szCs w:val="28"/>
        </w:rPr>
        <w:t>6</w:t>
      </w:r>
      <w:r>
        <w:rPr>
          <w:rFonts w:hint="eastAsia"/>
          <w:sz w:val="28"/>
          <w:szCs w:val="28"/>
        </w:rPr>
        <w:t>：中山市基地物业管理运营监管评分表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417"/>
        <w:gridCol w:w="2977"/>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7" w:type="dxa"/>
            <w:vAlign w:val="center"/>
          </w:tcPr>
          <w:p>
            <w:pPr>
              <w:spacing w:line="240" w:lineRule="auto"/>
              <w:ind w:firstLine="0" w:firstLineChars="0"/>
              <w:jc w:val="center"/>
              <w:rPr>
                <w:b/>
              </w:rPr>
            </w:pPr>
            <w:r>
              <w:rPr>
                <w:b/>
              </w:rPr>
              <w:t>项目</w:t>
            </w:r>
          </w:p>
        </w:tc>
        <w:tc>
          <w:tcPr>
            <w:tcW w:w="1417" w:type="dxa"/>
            <w:vAlign w:val="center"/>
          </w:tcPr>
          <w:p>
            <w:pPr>
              <w:spacing w:line="240" w:lineRule="auto"/>
              <w:ind w:firstLine="0" w:firstLineChars="0"/>
              <w:jc w:val="center"/>
              <w:rPr>
                <w:b/>
              </w:rPr>
            </w:pPr>
            <w:r>
              <w:rPr>
                <w:rFonts w:hint="eastAsia"/>
                <w:b/>
              </w:rPr>
              <w:t>类别</w:t>
            </w:r>
          </w:p>
        </w:tc>
        <w:tc>
          <w:tcPr>
            <w:tcW w:w="2977" w:type="dxa"/>
            <w:vAlign w:val="center"/>
          </w:tcPr>
          <w:p>
            <w:pPr>
              <w:spacing w:line="240" w:lineRule="auto"/>
              <w:ind w:firstLine="0" w:firstLineChars="0"/>
              <w:jc w:val="center"/>
              <w:rPr>
                <w:b/>
              </w:rPr>
            </w:pPr>
            <w:r>
              <w:rPr>
                <w:b/>
              </w:rPr>
              <w:t>考评内容</w:t>
            </w:r>
          </w:p>
        </w:tc>
        <w:tc>
          <w:tcPr>
            <w:tcW w:w="2205" w:type="dxa"/>
            <w:vAlign w:val="center"/>
          </w:tcPr>
          <w:p>
            <w:pPr>
              <w:spacing w:line="240" w:lineRule="auto"/>
              <w:ind w:firstLine="0" w:firstLineChars="0"/>
              <w:jc w:val="center"/>
              <w:rPr>
                <w:b/>
              </w:rPr>
            </w:pPr>
            <w:r>
              <w:rPr>
                <w:b/>
              </w:rPr>
              <w:t>考评扣分标准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restart"/>
            <w:vAlign w:val="center"/>
          </w:tcPr>
          <w:p>
            <w:pPr>
              <w:adjustRightInd w:val="0"/>
              <w:snapToGrid w:val="0"/>
              <w:ind w:firstLine="0" w:firstLineChars="0"/>
              <w:jc w:val="center"/>
              <w:rPr>
                <w:b/>
              </w:rPr>
            </w:pPr>
            <w:r>
              <w:rPr>
                <w:rFonts w:hint="eastAsia"/>
                <w:b/>
              </w:rPr>
              <w:t>一、公共设施、设备管理维护</w:t>
            </w:r>
          </w:p>
        </w:tc>
        <w:tc>
          <w:tcPr>
            <w:tcW w:w="1417" w:type="dxa"/>
            <w:vMerge w:val="restart"/>
            <w:vAlign w:val="center"/>
          </w:tcPr>
          <w:p>
            <w:pPr>
              <w:ind w:firstLine="0" w:firstLineChars="0"/>
              <w:jc w:val="center"/>
            </w:pPr>
            <w:r>
              <w:rPr>
                <w:rFonts w:hint="eastAsia"/>
              </w:rPr>
              <w:t>（一）公共设施、设备管理维护</w:t>
            </w:r>
          </w:p>
        </w:tc>
        <w:tc>
          <w:tcPr>
            <w:tcW w:w="2977" w:type="dxa"/>
            <w:vAlign w:val="center"/>
          </w:tcPr>
          <w:p>
            <w:pPr>
              <w:ind w:firstLine="0" w:firstLineChars="0"/>
              <w:jc w:val="left"/>
            </w:pPr>
            <w:r>
              <w:rPr>
                <w:rFonts w:hint="eastAsia"/>
              </w:rPr>
              <w:t>公共设施、设备无擅自改变用途，完好率达98%以上。</w:t>
            </w:r>
          </w:p>
        </w:tc>
        <w:tc>
          <w:tcPr>
            <w:tcW w:w="2205" w:type="dxa"/>
            <w:shd w:val="clear" w:color="auto" w:fill="auto"/>
            <w:vAlign w:val="center"/>
          </w:tcPr>
          <w:p>
            <w:pPr>
              <w:ind w:firstLine="0" w:firstLineChars="0"/>
              <w:jc w:val="left"/>
            </w:pPr>
            <w:r>
              <w:rPr>
                <w:rFonts w:hint="eastAsia"/>
              </w:rPr>
              <w:t>每发现一处不符合要求扣1分。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 xml:space="preserve">要求由专业技术人员严格遵守操作规程与保养规范进行公共设施、设备的运行、使用及维护，要求有记录，无事故隐患。 </w:t>
            </w:r>
          </w:p>
        </w:tc>
        <w:tc>
          <w:tcPr>
            <w:tcW w:w="2205" w:type="dxa"/>
            <w:shd w:val="clear" w:color="auto" w:fill="auto"/>
            <w:vAlign w:val="center"/>
          </w:tcPr>
          <w:p>
            <w:pPr>
              <w:ind w:firstLine="0" w:firstLineChars="0"/>
              <w:jc w:val="left"/>
            </w:pPr>
            <w:r>
              <w:rPr>
                <w:rFonts w:hint="eastAsia"/>
              </w:rPr>
              <w:t>每发现一处不符合要求扣1分。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供水设备运行正常，设施完好、无渗漏、无污染；制定停水及事故处理方案。</w:t>
            </w:r>
          </w:p>
        </w:tc>
        <w:tc>
          <w:tcPr>
            <w:tcW w:w="2205" w:type="dxa"/>
            <w:shd w:val="clear" w:color="auto" w:fill="auto"/>
            <w:vAlign w:val="center"/>
          </w:tcPr>
          <w:p>
            <w:pPr>
              <w:ind w:firstLine="0" w:firstLineChars="0"/>
              <w:jc w:val="left"/>
            </w:pPr>
            <w:r>
              <w:rPr>
                <w:rFonts w:hint="eastAsia"/>
              </w:rPr>
              <w:t>每发现一处不符合要求扣1分。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供电设备运行正常，配电室管理符合规定；路灯、楼道灯等公共照明设备完好率不低于90%，损坏的应在2日内修复。</w:t>
            </w:r>
          </w:p>
        </w:tc>
        <w:tc>
          <w:tcPr>
            <w:tcW w:w="2205" w:type="dxa"/>
            <w:shd w:val="clear" w:color="auto" w:fill="auto"/>
            <w:vAlign w:val="center"/>
          </w:tcPr>
          <w:p>
            <w:pPr>
              <w:ind w:firstLine="0" w:firstLineChars="0"/>
              <w:jc w:val="left"/>
            </w:pPr>
            <w:r>
              <w:rPr>
                <w:rFonts w:hint="eastAsia"/>
              </w:rPr>
              <w:t>每发现一处不符合要求扣0.5分。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房屋外观完好、整洁；外墙面砖、涂料等装饰材料无脱落、无污迹。</w:t>
            </w:r>
          </w:p>
        </w:tc>
        <w:tc>
          <w:tcPr>
            <w:tcW w:w="2205" w:type="dxa"/>
            <w:shd w:val="clear" w:color="auto" w:fill="auto"/>
            <w:vAlign w:val="center"/>
          </w:tcPr>
          <w:p>
            <w:pPr>
              <w:ind w:firstLine="0" w:firstLineChars="0"/>
              <w:jc w:val="left"/>
            </w:pPr>
            <w:r>
              <w:rPr>
                <w:rFonts w:hint="eastAsia"/>
              </w:rPr>
              <w:t>每发现一处不符合要求不扣0.5分。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道路通畅，路面平整；井盖无缺损、无丢失，路面井盖不影响车辆和行人通行。</w:t>
            </w:r>
          </w:p>
        </w:tc>
        <w:tc>
          <w:tcPr>
            <w:tcW w:w="2205" w:type="dxa"/>
            <w:shd w:val="clear" w:color="auto" w:fill="auto"/>
            <w:vAlign w:val="center"/>
          </w:tcPr>
          <w:p>
            <w:pPr>
              <w:ind w:firstLine="0" w:firstLineChars="0"/>
              <w:jc w:val="left"/>
            </w:pPr>
            <w:r>
              <w:rPr>
                <w:rFonts w:hint="eastAsia"/>
              </w:rPr>
              <w:t>每发现一处不通畅、不平整扣0.5分；井盖缺损或丢失超过一天未及时补充，每一处扣1分。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排水、排污管道通畅，无堵塞外溢现象。</w:t>
            </w:r>
          </w:p>
        </w:tc>
        <w:tc>
          <w:tcPr>
            <w:tcW w:w="2205" w:type="dxa"/>
            <w:shd w:val="clear" w:color="auto" w:fill="auto"/>
            <w:vAlign w:val="center"/>
          </w:tcPr>
          <w:p>
            <w:pPr>
              <w:ind w:firstLine="0" w:firstLineChars="0"/>
              <w:jc w:val="left"/>
            </w:pPr>
            <w:r>
              <w:rPr>
                <w:rFonts w:hint="eastAsia"/>
              </w:rPr>
              <w:t>每发现一处不符合要求扣0.5分。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restart"/>
            <w:vAlign w:val="center"/>
          </w:tcPr>
          <w:p>
            <w:pPr>
              <w:adjustRightInd w:val="0"/>
              <w:snapToGrid w:val="0"/>
              <w:ind w:firstLine="0" w:firstLineChars="0"/>
              <w:jc w:val="center"/>
              <w:rPr>
                <w:b/>
              </w:rPr>
            </w:pPr>
            <w:r>
              <w:rPr>
                <w:rFonts w:hint="eastAsia"/>
                <w:b/>
              </w:rPr>
              <w:t>二、保安、消防、出入管理</w:t>
            </w:r>
          </w:p>
        </w:tc>
        <w:tc>
          <w:tcPr>
            <w:tcW w:w="1417" w:type="dxa"/>
            <w:vAlign w:val="center"/>
          </w:tcPr>
          <w:p>
            <w:pPr>
              <w:ind w:firstLine="0" w:firstLineChars="0"/>
              <w:jc w:val="center"/>
            </w:pPr>
            <w:r>
              <w:rPr>
                <w:rFonts w:hint="eastAsia"/>
              </w:rPr>
              <w:t>（一）</w:t>
            </w:r>
          </w:p>
          <w:p>
            <w:pPr>
              <w:ind w:firstLine="0" w:firstLineChars="0"/>
              <w:jc w:val="center"/>
            </w:pPr>
            <w:r>
              <w:rPr>
                <w:rFonts w:hint="eastAsia"/>
              </w:rPr>
              <w:t>保安</w:t>
            </w:r>
          </w:p>
        </w:tc>
        <w:tc>
          <w:tcPr>
            <w:tcW w:w="2977" w:type="dxa"/>
            <w:vAlign w:val="center"/>
          </w:tcPr>
          <w:p>
            <w:pPr>
              <w:ind w:firstLine="0" w:firstLineChars="0"/>
              <w:jc w:val="left"/>
            </w:pPr>
            <w:r>
              <w:rPr>
                <w:rFonts w:hint="eastAsia"/>
              </w:rPr>
              <w:t>有专业保安队伍，实行24小时值班及巡逻制度，无财产被盗现象；保安人员熟悉北部组团的环境，文明值勤，训练有素，言语规范，认真负责。</w:t>
            </w:r>
          </w:p>
        </w:tc>
        <w:tc>
          <w:tcPr>
            <w:tcW w:w="2205" w:type="dxa"/>
            <w:vAlign w:val="center"/>
          </w:tcPr>
          <w:p>
            <w:pPr>
              <w:ind w:firstLine="0" w:firstLineChars="0"/>
              <w:jc w:val="left"/>
            </w:pPr>
            <w:r>
              <w:rPr>
                <w:rFonts w:hint="eastAsia"/>
              </w:rPr>
              <w:t>每发现一次不符合要求扣0.5分。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Align w:val="center"/>
          </w:tcPr>
          <w:p>
            <w:pPr>
              <w:ind w:firstLine="0" w:firstLineChars="0"/>
              <w:jc w:val="center"/>
            </w:pPr>
            <w:r>
              <w:rPr>
                <w:rFonts w:hint="eastAsia"/>
              </w:rPr>
              <w:t>（二）</w:t>
            </w:r>
          </w:p>
          <w:p>
            <w:pPr>
              <w:ind w:firstLine="0" w:firstLineChars="0"/>
              <w:jc w:val="center"/>
            </w:pPr>
            <w:r>
              <w:rPr>
                <w:rFonts w:hint="eastAsia"/>
              </w:rPr>
              <w:t>消防</w:t>
            </w:r>
          </w:p>
        </w:tc>
        <w:tc>
          <w:tcPr>
            <w:tcW w:w="2977" w:type="dxa"/>
            <w:vAlign w:val="center"/>
          </w:tcPr>
          <w:p>
            <w:pPr>
              <w:ind w:firstLine="0" w:firstLineChars="0"/>
              <w:jc w:val="left"/>
            </w:pPr>
            <w:r>
              <w:rPr>
                <w:rFonts w:hint="eastAsia"/>
              </w:rPr>
              <w:t>消防设备设施完好无损，可随时起用；消防通道畅通；制定消防应急方案。</w:t>
            </w:r>
          </w:p>
        </w:tc>
        <w:tc>
          <w:tcPr>
            <w:tcW w:w="2205" w:type="dxa"/>
            <w:shd w:val="clear" w:color="auto" w:fill="auto"/>
            <w:vAlign w:val="center"/>
          </w:tcPr>
          <w:p>
            <w:pPr>
              <w:ind w:firstLine="0" w:firstLineChars="0"/>
              <w:jc w:val="left"/>
            </w:pPr>
            <w:r>
              <w:rPr>
                <w:rFonts w:hint="eastAsia"/>
              </w:rPr>
              <w:t>每发现一处不符合要求扣1分。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Align w:val="center"/>
          </w:tcPr>
          <w:p>
            <w:pPr>
              <w:ind w:firstLine="0" w:firstLineChars="0"/>
              <w:jc w:val="center"/>
            </w:pPr>
            <w:r>
              <w:rPr>
                <w:rFonts w:hint="eastAsia"/>
              </w:rPr>
              <w:t>（三）</w:t>
            </w:r>
          </w:p>
          <w:p>
            <w:pPr>
              <w:ind w:firstLine="0" w:firstLineChars="0"/>
              <w:jc w:val="center"/>
            </w:pPr>
            <w:r>
              <w:rPr>
                <w:rFonts w:hint="eastAsia"/>
              </w:rPr>
              <w:t>出入管理</w:t>
            </w:r>
          </w:p>
        </w:tc>
        <w:tc>
          <w:tcPr>
            <w:tcW w:w="2977" w:type="dxa"/>
            <w:vAlign w:val="center"/>
          </w:tcPr>
          <w:p>
            <w:pPr>
              <w:ind w:firstLine="0" w:firstLineChars="0"/>
              <w:jc w:val="left"/>
            </w:pPr>
            <w:r>
              <w:rPr>
                <w:rFonts w:hint="eastAsia"/>
              </w:rPr>
              <w:t>按规定对进出北部组团的车辆、人员进行出入管理和登记。</w:t>
            </w:r>
          </w:p>
        </w:tc>
        <w:tc>
          <w:tcPr>
            <w:tcW w:w="2205" w:type="dxa"/>
            <w:shd w:val="clear" w:color="auto" w:fill="auto"/>
            <w:vAlign w:val="center"/>
          </w:tcPr>
          <w:p>
            <w:pPr>
              <w:ind w:firstLine="0" w:firstLineChars="0"/>
              <w:jc w:val="left"/>
            </w:pPr>
            <w:r>
              <w:rPr>
                <w:rFonts w:hint="eastAsia"/>
              </w:rPr>
              <w:t>准许无出入证的车辆或人员进入北部组团(经管理中心人员同意除外)，每发现一次扣2分；未按规定进行登记，每发现一次扣1分。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restart"/>
            <w:vAlign w:val="center"/>
          </w:tcPr>
          <w:p>
            <w:pPr>
              <w:adjustRightInd w:val="0"/>
              <w:snapToGrid w:val="0"/>
              <w:ind w:firstLine="0" w:firstLineChars="0"/>
              <w:jc w:val="center"/>
              <w:rPr>
                <w:b/>
              </w:rPr>
            </w:pPr>
            <w:r>
              <w:rPr>
                <w:rFonts w:hint="eastAsia"/>
                <w:b/>
              </w:rPr>
              <w:t>三、环境管理</w:t>
            </w:r>
          </w:p>
        </w:tc>
        <w:tc>
          <w:tcPr>
            <w:tcW w:w="1417" w:type="dxa"/>
            <w:vMerge w:val="restart"/>
            <w:vAlign w:val="center"/>
          </w:tcPr>
          <w:p>
            <w:pPr>
              <w:ind w:firstLine="0" w:firstLineChars="0"/>
              <w:jc w:val="center"/>
            </w:pPr>
            <w:r>
              <w:rPr>
                <w:rFonts w:hint="eastAsia"/>
              </w:rPr>
              <w:t>（一）</w:t>
            </w:r>
          </w:p>
          <w:p>
            <w:pPr>
              <w:ind w:firstLine="0" w:firstLineChars="0"/>
              <w:jc w:val="center"/>
            </w:pPr>
            <w:r>
              <w:rPr>
                <w:rFonts w:hint="eastAsia"/>
              </w:rPr>
              <w:t>环境卫生管理</w:t>
            </w:r>
          </w:p>
        </w:tc>
        <w:tc>
          <w:tcPr>
            <w:tcW w:w="2977" w:type="dxa"/>
            <w:vAlign w:val="center"/>
          </w:tcPr>
          <w:p>
            <w:pPr>
              <w:ind w:firstLine="0" w:firstLineChars="0"/>
              <w:jc w:val="left"/>
            </w:pPr>
            <w:r>
              <w:rPr>
                <w:rFonts w:hint="eastAsia"/>
              </w:rPr>
              <w:t>公共场所、道路、绿化带等可视范围内无散落垃圾、积存污水或强烈异味。</w:t>
            </w:r>
          </w:p>
        </w:tc>
        <w:tc>
          <w:tcPr>
            <w:tcW w:w="2205" w:type="dxa"/>
            <w:vAlign w:val="center"/>
          </w:tcPr>
          <w:p>
            <w:pPr>
              <w:ind w:firstLine="0" w:firstLineChars="0"/>
              <w:jc w:val="left"/>
            </w:pPr>
            <w:r>
              <w:rPr>
                <w:rFonts w:hint="eastAsia"/>
              </w:rPr>
              <w:t>每发现一处不符合要求扣1分。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道路高压清洗保洁的次数要达到规定要求。</w:t>
            </w:r>
          </w:p>
        </w:tc>
        <w:tc>
          <w:tcPr>
            <w:tcW w:w="2205" w:type="dxa"/>
            <w:vAlign w:val="center"/>
          </w:tcPr>
          <w:p>
            <w:pPr>
              <w:ind w:firstLine="0" w:firstLineChars="0"/>
              <w:jc w:val="left"/>
            </w:pPr>
            <w:r>
              <w:rPr>
                <w:rFonts w:hint="eastAsia"/>
              </w:rPr>
              <w:t>每发现一次不符合要求，重点保洁道路每少1次，扣3分；非重点保洁道路每少1次，扣2分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道路高压清洗保洁要达到规定的质量标准。</w:t>
            </w:r>
          </w:p>
        </w:tc>
        <w:tc>
          <w:tcPr>
            <w:tcW w:w="2205" w:type="dxa"/>
            <w:vAlign w:val="center"/>
          </w:tcPr>
          <w:p>
            <w:pPr>
              <w:ind w:firstLine="0" w:firstLineChars="0"/>
              <w:jc w:val="left"/>
            </w:pPr>
            <w:r>
              <w:rPr>
                <w:rFonts w:hint="eastAsia"/>
              </w:rPr>
              <w:t>每发现一次不符合要求，重点保洁道路每次扣2分；非重点保洁道路每次扣1分。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积极配合管理单位提出的道路高压清洗保洁调整要求。</w:t>
            </w:r>
          </w:p>
        </w:tc>
        <w:tc>
          <w:tcPr>
            <w:tcW w:w="2205" w:type="dxa"/>
            <w:vAlign w:val="center"/>
          </w:tcPr>
          <w:p>
            <w:pPr>
              <w:ind w:firstLine="0" w:firstLineChars="0"/>
              <w:jc w:val="left"/>
            </w:pPr>
            <w:r>
              <w:rPr>
                <w:rFonts w:hint="eastAsia"/>
              </w:rPr>
              <w:t>无正当理由而拒绝的，每次扣3分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办公用房、设备用房、会议室等建筑物内部整洁，门、窗、楼梯扶手无积尘；洗手间干净，无垃圾、脏物和臭味。</w:t>
            </w:r>
          </w:p>
        </w:tc>
        <w:tc>
          <w:tcPr>
            <w:tcW w:w="2205" w:type="dxa"/>
            <w:vAlign w:val="center"/>
          </w:tcPr>
          <w:p>
            <w:pPr>
              <w:ind w:firstLine="0" w:firstLineChars="0"/>
              <w:jc w:val="left"/>
            </w:pPr>
            <w:r>
              <w:rPr>
                <w:rFonts w:hint="eastAsia"/>
              </w:rPr>
              <w:t>每发现一处不符合要求扣0.5分，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楼内公共设施设备无蛛网浮尘、雨篷无垃圾杂物堆放。</w:t>
            </w:r>
          </w:p>
        </w:tc>
        <w:tc>
          <w:tcPr>
            <w:tcW w:w="2205" w:type="dxa"/>
            <w:vAlign w:val="center"/>
          </w:tcPr>
          <w:p>
            <w:pPr>
              <w:ind w:firstLine="0" w:firstLineChars="0"/>
              <w:jc w:val="left"/>
            </w:pPr>
            <w:r>
              <w:rPr>
                <w:rFonts w:hint="eastAsia"/>
              </w:rPr>
              <w:t>每发现一处不符合要求扣0.5分，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房屋内、外墙及设施、设备外观要求完好、整洁、无乱贴乱画。</w:t>
            </w:r>
          </w:p>
        </w:tc>
        <w:tc>
          <w:tcPr>
            <w:tcW w:w="2205" w:type="dxa"/>
            <w:vAlign w:val="center"/>
          </w:tcPr>
          <w:p>
            <w:pPr>
              <w:ind w:firstLine="0" w:firstLineChars="0"/>
              <w:jc w:val="left"/>
            </w:pPr>
            <w:r>
              <w:rPr>
                <w:rFonts w:hint="eastAsia"/>
              </w:rPr>
              <w:t>每发现一处不符合要求扣0.5分。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房屋共用部位、共用设施设备要求无蚁害。</w:t>
            </w:r>
          </w:p>
        </w:tc>
        <w:tc>
          <w:tcPr>
            <w:tcW w:w="2205" w:type="dxa"/>
            <w:vAlign w:val="center"/>
          </w:tcPr>
          <w:p>
            <w:pPr>
              <w:ind w:firstLine="0" w:firstLineChars="0"/>
              <w:jc w:val="left"/>
            </w:pPr>
            <w:r>
              <w:rPr>
                <w:rFonts w:hint="eastAsia"/>
              </w:rPr>
              <w:t>每发现一处不符合要求扣0.5分。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定期灭杀蚊、蝇、鼠、蟑螂等，要求做到无孳生源。</w:t>
            </w:r>
          </w:p>
        </w:tc>
        <w:tc>
          <w:tcPr>
            <w:tcW w:w="2205" w:type="dxa"/>
            <w:vAlign w:val="center"/>
          </w:tcPr>
          <w:p>
            <w:pPr>
              <w:ind w:firstLine="0" w:firstLineChars="0"/>
              <w:jc w:val="left"/>
            </w:pPr>
            <w:r>
              <w:rPr>
                <w:rFonts w:hint="eastAsia"/>
              </w:rPr>
              <w:t>每发现一处不符合要求扣0.5分。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shd w:val="clear" w:color="auto" w:fill="auto"/>
            <w:vAlign w:val="center"/>
          </w:tcPr>
          <w:p>
            <w:pPr>
              <w:adjustRightInd w:val="0"/>
              <w:snapToGrid w:val="0"/>
              <w:ind w:firstLine="0" w:firstLineChars="0"/>
              <w:jc w:val="center"/>
              <w:rPr>
                <w:b/>
              </w:rPr>
            </w:pPr>
          </w:p>
        </w:tc>
        <w:tc>
          <w:tcPr>
            <w:tcW w:w="1417" w:type="dxa"/>
            <w:vMerge w:val="restart"/>
            <w:vAlign w:val="center"/>
          </w:tcPr>
          <w:p>
            <w:pPr>
              <w:ind w:firstLine="0" w:firstLineChars="0"/>
              <w:jc w:val="center"/>
            </w:pPr>
            <w:r>
              <w:rPr>
                <w:rFonts w:hint="eastAsia"/>
              </w:rPr>
              <w:t>（二）</w:t>
            </w:r>
          </w:p>
          <w:p>
            <w:pPr>
              <w:ind w:firstLine="0" w:firstLineChars="0"/>
              <w:jc w:val="center"/>
            </w:pPr>
            <w:r>
              <w:rPr>
                <w:rFonts w:hint="eastAsia"/>
              </w:rPr>
              <w:t>绿化管理</w:t>
            </w:r>
          </w:p>
        </w:tc>
        <w:tc>
          <w:tcPr>
            <w:tcW w:w="2977" w:type="dxa"/>
            <w:vAlign w:val="center"/>
          </w:tcPr>
          <w:p>
            <w:pPr>
              <w:ind w:firstLine="0" w:firstLineChars="0"/>
              <w:jc w:val="left"/>
            </w:pPr>
            <w:r>
              <w:rPr>
                <w:rFonts w:hint="eastAsia"/>
              </w:rPr>
              <w:t>绿地不能改变用途及有破坏、践踏、占用现象。</w:t>
            </w:r>
          </w:p>
        </w:tc>
        <w:tc>
          <w:tcPr>
            <w:tcW w:w="2205" w:type="dxa"/>
            <w:vAlign w:val="center"/>
          </w:tcPr>
          <w:p>
            <w:pPr>
              <w:ind w:firstLine="0" w:firstLineChars="0"/>
              <w:jc w:val="left"/>
            </w:pPr>
            <w:r>
              <w:rPr>
                <w:rFonts w:hint="eastAsia"/>
              </w:rPr>
              <w:t>每发现一处不符合要求扣1分。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shd w:val="clear" w:color="auto" w:fill="auto"/>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花草树木长势良好，修剪整齐美观，无病虫害，无折损现象，无斑秃。</w:t>
            </w:r>
          </w:p>
        </w:tc>
        <w:tc>
          <w:tcPr>
            <w:tcW w:w="2205" w:type="dxa"/>
            <w:vAlign w:val="center"/>
          </w:tcPr>
          <w:p>
            <w:pPr>
              <w:ind w:firstLine="0" w:firstLineChars="0"/>
              <w:jc w:val="left"/>
            </w:pPr>
            <w:r>
              <w:rPr>
                <w:rFonts w:hint="eastAsia"/>
              </w:rPr>
              <w:t>长势不好扣1分，其他每发现一处不符合要求扣0.5分。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shd w:val="clear" w:color="auto" w:fill="auto"/>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绿地无纸屑、烟头、石块等杂物。</w:t>
            </w:r>
          </w:p>
        </w:tc>
        <w:tc>
          <w:tcPr>
            <w:tcW w:w="2205" w:type="dxa"/>
            <w:vAlign w:val="center"/>
          </w:tcPr>
          <w:p>
            <w:pPr>
              <w:ind w:firstLine="0" w:firstLineChars="0"/>
              <w:jc w:val="left"/>
            </w:pPr>
            <w:r>
              <w:rPr>
                <w:rFonts w:hint="eastAsia"/>
              </w:rPr>
              <w:t>每发现一处不符合要求扣0.5分。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shd w:val="clear" w:color="auto" w:fill="auto"/>
            <w:vAlign w:val="center"/>
          </w:tcPr>
          <w:p>
            <w:pPr>
              <w:adjustRightInd w:val="0"/>
              <w:snapToGrid w:val="0"/>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绿地损坏率低于5%，树木死亡率低于10%，死亡花草树木要求及时补栽。</w:t>
            </w:r>
          </w:p>
        </w:tc>
        <w:tc>
          <w:tcPr>
            <w:tcW w:w="2205" w:type="dxa"/>
            <w:vAlign w:val="center"/>
          </w:tcPr>
          <w:p>
            <w:pPr>
              <w:ind w:firstLine="0" w:firstLineChars="0"/>
              <w:jc w:val="left"/>
            </w:pPr>
            <w:r>
              <w:rPr>
                <w:rFonts w:hint="eastAsia"/>
              </w:rPr>
              <w:t>不符合要求的，每次扣1分，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restart"/>
            <w:vAlign w:val="center"/>
          </w:tcPr>
          <w:p>
            <w:pPr>
              <w:adjustRightInd w:val="0"/>
              <w:snapToGrid w:val="0"/>
              <w:ind w:firstLine="0" w:firstLineChars="0"/>
              <w:jc w:val="center"/>
              <w:rPr>
                <w:b/>
              </w:rPr>
            </w:pPr>
            <w:r>
              <w:rPr>
                <w:rFonts w:hint="eastAsia"/>
                <w:b/>
              </w:rPr>
              <w:t>四、日常工作管理</w:t>
            </w:r>
          </w:p>
        </w:tc>
        <w:tc>
          <w:tcPr>
            <w:tcW w:w="1417" w:type="dxa"/>
            <w:vAlign w:val="center"/>
          </w:tcPr>
          <w:p>
            <w:pPr>
              <w:ind w:firstLine="0" w:firstLineChars="0"/>
              <w:jc w:val="center"/>
            </w:pPr>
            <w:r>
              <w:rPr>
                <w:rFonts w:hint="eastAsia"/>
              </w:rPr>
              <w:t>（一）仪表管理</w:t>
            </w:r>
          </w:p>
        </w:tc>
        <w:tc>
          <w:tcPr>
            <w:tcW w:w="2977" w:type="dxa"/>
            <w:vAlign w:val="center"/>
          </w:tcPr>
          <w:p>
            <w:pPr>
              <w:ind w:firstLine="0" w:firstLineChars="0"/>
              <w:jc w:val="left"/>
            </w:pPr>
            <w:r>
              <w:rPr>
                <w:rFonts w:hint="eastAsia"/>
              </w:rPr>
              <w:t>管理和服务人员穿着制服，佩带明显标志，仪表整洁规范。</w:t>
            </w:r>
          </w:p>
        </w:tc>
        <w:tc>
          <w:tcPr>
            <w:tcW w:w="2205" w:type="dxa"/>
            <w:vAlign w:val="center"/>
          </w:tcPr>
          <w:p>
            <w:pPr>
              <w:ind w:firstLine="0" w:firstLineChars="0"/>
              <w:jc w:val="left"/>
            </w:pPr>
            <w:r>
              <w:rPr>
                <w:rFonts w:hint="eastAsia"/>
              </w:rPr>
              <w:t>每发现一人不符合要求扣0.5分。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spacing w:line="240" w:lineRule="auto"/>
              <w:ind w:firstLine="0" w:firstLineChars="0"/>
              <w:jc w:val="center"/>
              <w:rPr>
                <w:b/>
              </w:rPr>
            </w:pPr>
          </w:p>
        </w:tc>
        <w:tc>
          <w:tcPr>
            <w:tcW w:w="1417" w:type="dxa"/>
            <w:vAlign w:val="center"/>
          </w:tcPr>
          <w:p>
            <w:pPr>
              <w:ind w:firstLine="0" w:firstLineChars="0"/>
              <w:jc w:val="center"/>
            </w:pPr>
            <w:r>
              <w:rPr>
                <w:rFonts w:hint="eastAsia"/>
              </w:rPr>
              <w:t>（二）台账管理</w:t>
            </w:r>
          </w:p>
        </w:tc>
        <w:tc>
          <w:tcPr>
            <w:tcW w:w="2977" w:type="dxa"/>
            <w:vAlign w:val="center"/>
          </w:tcPr>
          <w:p>
            <w:pPr>
              <w:ind w:firstLine="0" w:firstLineChars="0"/>
              <w:jc w:val="left"/>
            </w:pPr>
            <w:r>
              <w:rPr>
                <w:rFonts w:hint="eastAsia"/>
              </w:rPr>
              <w:t>日常管理中应建立交接班、项目故障与维修保养、备品备件使用等登记纪录。</w:t>
            </w:r>
          </w:p>
        </w:tc>
        <w:tc>
          <w:tcPr>
            <w:tcW w:w="2205" w:type="dxa"/>
            <w:vAlign w:val="center"/>
          </w:tcPr>
          <w:p>
            <w:pPr>
              <w:ind w:firstLine="0" w:firstLineChars="0"/>
              <w:jc w:val="left"/>
            </w:pPr>
            <w:r>
              <w:rPr>
                <w:rFonts w:hint="eastAsia"/>
              </w:rPr>
              <w:t>每发现一次不符合要求扣0.2分。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spacing w:line="240" w:lineRule="auto"/>
              <w:ind w:firstLine="0" w:firstLineChars="0"/>
              <w:jc w:val="center"/>
              <w:rPr>
                <w:b/>
              </w:rPr>
            </w:pPr>
          </w:p>
        </w:tc>
        <w:tc>
          <w:tcPr>
            <w:tcW w:w="1417" w:type="dxa"/>
            <w:vMerge w:val="restart"/>
            <w:vAlign w:val="center"/>
          </w:tcPr>
          <w:p>
            <w:pPr>
              <w:ind w:firstLine="0" w:firstLineChars="0"/>
              <w:jc w:val="center"/>
            </w:pPr>
            <w:r>
              <w:rPr>
                <w:rFonts w:hint="eastAsia"/>
              </w:rPr>
              <w:t>（三）其他辅助工作</w:t>
            </w:r>
          </w:p>
        </w:tc>
        <w:tc>
          <w:tcPr>
            <w:tcW w:w="2977" w:type="dxa"/>
            <w:vAlign w:val="center"/>
          </w:tcPr>
          <w:p>
            <w:pPr>
              <w:ind w:firstLine="0" w:firstLineChars="0"/>
              <w:jc w:val="left"/>
            </w:pPr>
            <w:r>
              <w:rPr>
                <w:rFonts w:hint="eastAsia"/>
              </w:rPr>
              <w:t>协助做好基地参观接待、现场讲解以及大型活动、会议的会场布置、接待工作。</w:t>
            </w:r>
          </w:p>
        </w:tc>
        <w:tc>
          <w:tcPr>
            <w:tcW w:w="2205" w:type="dxa"/>
            <w:vAlign w:val="center"/>
          </w:tcPr>
          <w:p>
            <w:pPr>
              <w:ind w:firstLine="0" w:firstLineChars="0"/>
              <w:jc w:val="left"/>
            </w:pPr>
            <w:r>
              <w:rPr>
                <w:rFonts w:hint="eastAsia"/>
              </w:rPr>
              <w:t>每发现一次不符合要求扣0.5分。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97" w:type="dxa"/>
            <w:vMerge w:val="continue"/>
            <w:vAlign w:val="center"/>
          </w:tcPr>
          <w:p>
            <w:pPr>
              <w:spacing w:line="240" w:lineRule="auto"/>
              <w:ind w:firstLine="0" w:firstLineChars="0"/>
              <w:jc w:val="center"/>
              <w:rPr>
                <w:b/>
              </w:rPr>
            </w:pPr>
          </w:p>
        </w:tc>
        <w:tc>
          <w:tcPr>
            <w:tcW w:w="1417" w:type="dxa"/>
            <w:vMerge w:val="continue"/>
            <w:vAlign w:val="center"/>
          </w:tcPr>
          <w:p>
            <w:pPr>
              <w:ind w:firstLine="0" w:firstLineChars="0"/>
              <w:jc w:val="center"/>
            </w:pPr>
          </w:p>
        </w:tc>
        <w:tc>
          <w:tcPr>
            <w:tcW w:w="2977" w:type="dxa"/>
            <w:vAlign w:val="center"/>
          </w:tcPr>
          <w:p>
            <w:pPr>
              <w:ind w:firstLine="0" w:firstLineChars="0"/>
              <w:jc w:val="left"/>
            </w:pPr>
            <w:r>
              <w:rPr>
                <w:rFonts w:hint="eastAsia"/>
              </w:rPr>
              <w:t>协助委托人做好基地环境监测项目的取样、送样工作。</w:t>
            </w:r>
          </w:p>
        </w:tc>
        <w:tc>
          <w:tcPr>
            <w:tcW w:w="2205" w:type="dxa"/>
            <w:vAlign w:val="center"/>
          </w:tcPr>
          <w:p>
            <w:pPr>
              <w:ind w:firstLine="0" w:firstLineChars="0"/>
              <w:jc w:val="left"/>
            </w:pPr>
            <w:r>
              <w:rPr>
                <w:rFonts w:hint="eastAsia"/>
              </w:rPr>
              <w:t>每发现一次不符合要求扣0.5分。</w:t>
            </w:r>
          </w:p>
        </w:tc>
      </w:tr>
    </w:tbl>
    <w:p>
      <w:pPr>
        <w:pStyle w:val="4"/>
        <w:ind w:left="0" w:firstLine="0" w:firstLineChars="0"/>
        <w:rPr>
          <w:rFonts w:ascii="Calibri" w:hAnsi="Calibri"/>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0000000000000000000"/>
    <w:charset w:val="86"/>
    <w:family w:val="swiss"/>
    <w:pitch w:val="default"/>
    <w:sig w:usb0="00000000" w:usb1="0000000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19</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19</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6FD"/>
    <w:rsid w:val="00066256"/>
    <w:rsid w:val="000B6DB8"/>
    <w:rsid w:val="000D619A"/>
    <w:rsid w:val="00164668"/>
    <w:rsid w:val="001722A4"/>
    <w:rsid w:val="00181F66"/>
    <w:rsid w:val="001B4E60"/>
    <w:rsid w:val="00203296"/>
    <w:rsid w:val="002271A2"/>
    <w:rsid w:val="00227DA8"/>
    <w:rsid w:val="00237303"/>
    <w:rsid w:val="002C7DFF"/>
    <w:rsid w:val="00313191"/>
    <w:rsid w:val="00337C1E"/>
    <w:rsid w:val="003C18F8"/>
    <w:rsid w:val="004009C0"/>
    <w:rsid w:val="0043046C"/>
    <w:rsid w:val="004323BA"/>
    <w:rsid w:val="004541CA"/>
    <w:rsid w:val="00467399"/>
    <w:rsid w:val="004A116A"/>
    <w:rsid w:val="004F56BA"/>
    <w:rsid w:val="00513AFE"/>
    <w:rsid w:val="00520BA2"/>
    <w:rsid w:val="0054194F"/>
    <w:rsid w:val="0054390A"/>
    <w:rsid w:val="005556D1"/>
    <w:rsid w:val="005731E9"/>
    <w:rsid w:val="005A7FAA"/>
    <w:rsid w:val="005E2455"/>
    <w:rsid w:val="005E62AA"/>
    <w:rsid w:val="005F6FC7"/>
    <w:rsid w:val="00614A56"/>
    <w:rsid w:val="0062076B"/>
    <w:rsid w:val="006376FD"/>
    <w:rsid w:val="006E1FD3"/>
    <w:rsid w:val="006E46E2"/>
    <w:rsid w:val="006E6489"/>
    <w:rsid w:val="006F3400"/>
    <w:rsid w:val="00700368"/>
    <w:rsid w:val="00706478"/>
    <w:rsid w:val="00742916"/>
    <w:rsid w:val="0078771A"/>
    <w:rsid w:val="007D460B"/>
    <w:rsid w:val="007D6DB7"/>
    <w:rsid w:val="00807D4C"/>
    <w:rsid w:val="00847D65"/>
    <w:rsid w:val="00881019"/>
    <w:rsid w:val="00902BD7"/>
    <w:rsid w:val="00956AD3"/>
    <w:rsid w:val="00963E7A"/>
    <w:rsid w:val="00973C2C"/>
    <w:rsid w:val="00977D3D"/>
    <w:rsid w:val="00A5359F"/>
    <w:rsid w:val="00A6160B"/>
    <w:rsid w:val="00A865CC"/>
    <w:rsid w:val="00AD0A31"/>
    <w:rsid w:val="00B25E6B"/>
    <w:rsid w:val="00B5242D"/>
    <w:rsid w:val="00B738FD"/>
    <w:rsid w:val="00BC4080"/>
    <w:rsid w:val="00BE6A01"/>
    <w:rsid w:val="00BE7A3F"/>
    <w:rsid w:val="00C03606"/>
    <w:rsid w:val="00CB308F"/>
    <w:rsid w:val="00CD02D6"/>
    <w:rsid w:val="00CE3EAB"/>
    <w:rsid w:val="00CF0341"/>
    <w:rsid w:val="00D3617D"/>
    <w:rsid w:val="00DE5C15"/>
    <w:rsid w:val="00DE7956"/>
    <w:rsid w:val="00DF15C9"/>
    <w:rsid w:val="00E11E29"/>
    <w:rsid w:val="00EC059B"/>
    <w:rsid w:val="00EC5921"/>
    <w:rsid w:val="00F32F8C"/>
    <w:rsid w:val="00F3595B"/>
    <w:rsid w:val="00FC7928"/>
    <w:rsid w:val="00FF60B5"/>
    <w:rsid w:val="07082666"/>
    <w:rsid w:val="0E566786"/>
    <w:rsid w:val="15496036"/>
    <w:rsid w:val="15A93C2D"/>
    <w:rsid w:val="35A25E1F"/>
    <w:rsid w:val="35B3035F"/>
    <w:rsid w:val="36C142AF"/>
    <w:rsid w:val="399D3C65"/>
    <w:rsid w:val="52E95B9B"/>
    <w:rsid w:val="5C7F0742"/>
    <w:rsid w:val="6B951A89"/>
    <w:rsid w:val="7A862BA2"/>
    <w:rsid w:val="7EFE25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hd w:val="clear" w:color="auto" w:fill="FFFFFF"/>
      <w:spacing w:line="360" w:lineRule="auto"/>
      <w:ind w:left="119" w:right="119" w:firstLine="420" w:firstLineChars="200"/>
      <w:jc w:val="both"/>
    </w:pPr>
    <w:rPr>
      <w:rFonts w:ascii="宋体" w:hAnsi="宋体" w:eastAsia="宋体" w:cs="Calibri"/>
      <w:color w:val="000000"/>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4"/>
    <w:next w:val="1"/>
    <w:link w:val="13"/>
    <w:unhideWhenUsed/>
    <w:qFormat/>
    <w:uiPriority w:val="9"/>
    <w:pPr>
      <w:ind w:left="0" w:firstLine="0" w:firstLineChars="0"/>
      <w:jc w:val="center"/>
      <w:outlineLvl w:val="1"/>
    </w:pPr>
    <w:rPr>
      <w:b/>
      <w:bCs/>
    </w:rPr>
  </w:style>
  <w:style w:type="paragraph" w:styleId="5">
    <w:name w:val="heading 3"/>
    <w:basedOn w:val="1"/>
    <w:next w:val="1"/>
    <w:link w:val="17"/>
    <w:unhideWhenUsed/>
    <w:qFormat/>
    <w:uiPriority w:val="9"/>
    <w:pPr>
      <w:keepNext/>
      <w:keepLines/>
      <w:spacing w:before="260" w:after="260" w:line="416" w:lineRule="auto"/>
      <w:outlineLvl w:val="2"/>
    </w:pPr>
    <w:rPr>
      <w:b/>
      <w:bCs/>
      <w:sz w:val="32"/>
      <w:szCs w:val="32"/>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Normal (Web)"/>
    <w:basedOn w:val="1"/>
    <w:unhideWhenUsed/>
    <w:qFormat/>
    <w:uiPriority w:val="99"/>
    <w:pPr>
      <w:spacing w:before="100" w:beforeAutospacing="1" w:after="100" w:afterAutospacing="1"/>
      <w:jc w:val="left"/>
    </w:pPr>
    <w:rPr>
      <w:rFonts w:cs="宋体"/>
      <w:sz w:val="24"/>
      <w:szCs w:val="24"/>
    </w:rPr>
  </w:style>
  <w:style w:type="paragraph" w:styleId="6">
    <w:name w:val="Document Map"/>
    <w:basedOn w:val="1"/>
    <w:link w:val="20"/>
    <w:unhideWhenUsed/>
    <w:qFormat/>
    <w:uiPriority w:val="99"/>
    <w:rPr>
      <w:rFonts w:ascii="Microsoft YaHei UI" w:eastAsia="Microsoft YaHei UI"/>
      <w:sz w:val="18"/>
      <w:szCs w:val="18"/>
    </w:rPr>
  </w:style>
  <w:style w:type="paragraph" w:styleId="7">
    <w:name w:val="Body Text Indent"/>
    <w:basedOn w:val="1"/>
    <w:link w:val="19"/>
    <w:qFormat/>
    <w:uiPriority w:val="0"/>
    <w:pPr>
      <w:widowControl w:val="0"/>
      <w:shd w:val="clear" w:color="auto" w:fill="auto"/>
      <w:ind w:left="-103" w:right="0" w:firstLine="515" w:firstLineChars="0"/>
    </w:pPr>
    <w:rPr>
      <w:rFonts w:hAnsi="Times New Roman" w:cs="Times New Roman"/>
      <w:color w:val="auto"/>
      <w:kern w:val="2"/>
      <w:sz w:val="24"/>
      <w:szCs w:val="20"/>
    </w:rPr>
  </w:style>
  <w:style w:type="paragraph" w:styleId="8">
    <w:name w:val="footer"/>
    <w:basedOn w:val="1"/>
    <w:link w:val="15"/>
    <w:unhideWhenUsed/>
    <w:qFormat/>
    <w:uiPriority w:val="99"/>
    <w:pPr>
      <w:tabs>
        <w:tab w:val="center" w:pos="4153"/>
        <w:tab w:val="right" w:pos="8306"/>
      </w:tabs>
      <w:snapToGrid w:val="0"/>
      <w:spacing w:line="240" w:lineRule="auto"/>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11">
    <w:name w:val="Table Grid"/>
    <w:basedOn w:val="10"/>
    <w:qFormat/>
    <w:uiPriority w:val="59"/>
    <w:rPr>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标题 2 Char"/>
    <w:basedOn w:val="12"/>
    <w:link w:val="3"/>
    <w:qFormat/>
    <w:uiPriority w:val="9"/>
    <w:rPr>
      <w:rFonts w:ascii="宋体" w:hAnsi="宋体" w:eastAsia="宋体" w:cs="宋体"/>
      <w:b/>
      <w:bCs/>
      <w:color w:val="000000"/>
      <w:kern w:val="0"/>
      <w:sz w:val="24"/>
      <w:szCs w:val="24"/>
      <w:shd w:val="clear" w:color="auto" w:fill="FFFFFF"/>
    </w:rPr>
  </w:style>
  <w:style w:type="character" w:customStyle="1" w:styleId="14">
    <w:name w:val="页眉 Char"/>
    <w:basedOn w:val="12"/>
    <w:link w:val="9"/>
    <w:qFormat/>
    <w:uiPriority w:val="99"/>
    <w:rPr>
      <w:rFonts w:ascii="宋体" w:hAnsi="宋体" w:eastAsia="宋体" w:cs="Calibri"/>
      <w:color w:val="000000"/>
      <w:kern w:val="0"/>
      <w:sz w:val="18"/>
      <w:szCs w:val="18"/>
      <w:shd w:val="clear" w:color="auto" w:fill="FFFFFF"/>
    </w:rPr>
  </w:style>
  <w:style w:type="character" w:customStyle="1" w:styleId="15">
    <w:name w:val="页脚 Char"/>
    <w:basedOn w:val="12"/>
    <w:link w:val="8"/>
    <w:qFormat/>
    <w:uiPriority w:val="99"/>
    <w:rPr>
      <w:rFonts w:ascii="宋体" w:hAnsi="宋体" w:eastAsia="宋体" w:cs="Calibri"/>
      <w:color w:val="000000"/>
      <w:kern w:val="0"/>
      <w:sz w:val="18"/>
      <w:szCs w:val="18"/>
      <w:shd w:val="clear" w:color="auto" w:fill="FFFFFF"/>
    </w:rPr>
  </w:style>
  <w:style w:type="character" w:customStyle="1" w:styleId="16">
    <w:name w:val="标题 1 Char"/>
    <w:basedOn w:val="12"/>
    <w:link w:val="2"/>
    <w:qFormat/>
    <w:uiPriority w:val="9"/>
    <w:rPr>
      <w:rFonts w:ascii="宋体" w:hAnsi="宋体" w:eastAsia="宋体" w:cs="Calibri"/>
      <w:b/>
      <w:bCs/>
      <w:color w:val="000000"/>
      <w:kern w:val="44"/>
      <w:sz w:val="44"/>
      <w:szCs w:val="44"/>
      <w:shd w:val="clear" w:color="auto" w:fill="FFFFFF"/>
    </w:rPr>
  </w:style>
  <w:style w:type="character" w:customStyle="1" w:styleId="17">
    <w:name w:val="标题 3 Char"/>
    <w:basedOn w:val="12"/>
    <w:link w:val="5"/>
    <w:qFormat/>
    <w:uiPriority w:val="9"/>
    <w:rPr>
      <w:rFonts w:ascii="宋体" w:hAnsi="宋体" w:eastAsia="宋体" w:cs="Calibri"/>
      <w:b/>
      <w:bCs/>
      <w:color w:val="000000"/>
      <w:kern w:val="0"/>
      <w:sz w:val="32"/>
      <w:szCs w:val="32"/>
      <w:shd w:val="clear" w:color="auto" w:fill="FFFFFF"/>
    </w:rPr>
  </w:style>
  <w:style w:type="paragraph" w:customStyle="1" w:styleId="18">
    <w:name w:val="Char1"/>
    <w:basedOn w:val="6"/>
    <w:qFormat/>
    <w:uiPriority w:val="0"/>
    <w:pPr>
      <w:widowControl w:val="0"/>
      <w:shd w:val="clear" w:color="auto" w:fill="000080"/>
      <w:spacing w:line="240" w:lineRule="auto"/>
      <w:ind w:left="0" w:right="0" w:firstLine="0" w:firstLineChars="0"/>
    </w:pPr>
    <w:rPr>
      <w:rFonts w:ascii="Tahoma" w:hAnsi="Tahoma" w:eastAsia="宋体" w:cs="Times New Roman"/>
      <w:color w:val="auto"/>
      <w:kern w:val="2"/>
      <w:sz w:val="24"/>
      <w:szCs w:val="24"/>
    </w:rPr>
  </w:style>
  <w:style w:type="character" w:customStyle="1" w:styleId="19">
    <w:name w:val="正文文本缩进 Char"/>
    <w:basedOn w:val="12"/>
    <w:link w:val="7"/>
    <w:qFormat/>
    <w:uiPriority w:val="0"/>
    <w:rPr>
      <w:rFonts w:ascii="宋体" w:hAnsi="Times New Roman" w:eastAsia="宋体" w:cs="Times New Roman"/>
      <w:sz w:val="24"/>
      <w:szCs w:val="20"/>
    </w:rPr>
  </w:style>
  <w:style w:type="character" w:customStyle="1" w:styleId="20">
    <w:name w:val="文档结构图 Char"/>
    <w:basedOn w:val="12"/>
    <w:link w:val="6"/>
    <w:semiHidden/>
    <w:qFormat/>
    <w:uiPriority w:val="99"/>
    <w:rPr>
      <w:rFonts w:ascii="Microsoft YaHei UI" w:hAnsi="宋体" w:eastAsia="Microsoft YaHei UI" w:cs="Calibri"/>
      <w:color w:val="000000"/>
      <w:kern w:val="0"/>
      <w:sz w:val="18"/>
      <w:szCs w:val="18"/>
      <w:shd w:val="clear" w:color="auto" w:fill="FFFFFF"/>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35</Pages>
  <Words>2184</Words>
  <Characters>12452</Characters>
  <Lines>103</Lines>
  <Paragraphs>29</Paragraphs>
  <TotalTime>18</TotalTime>
  <ScaleCrop>false</ScaleCrop>
  <LinksUpToDate>false</LinksUpToDate>
  <CharactersWithSpaces>14607</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2019-09-05T12:07:00Z</dcterms:created>
  <dc:creator>ma</dc:creator>
  <cp:lastModifiedBy>曾剑峰</cp:lastModifiedBy>
  <dcterms:modified xsi:type="dcterms:W3CDTF">2024-08-19T02:40:19Z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F073B80747654CC391287E855BA0D339</vt:lpwstr>
  </property>
</Properties>
</file>