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2A02C">
      <w:pPr>
        <w:pStyle w:val="5"/>
        <w:keepNext/>
        <w:keepLines/>
        <w:jc w:val="center"/>
        <w:rPr>
          <w:rFonts w:hint="eastAsia" w:hAnsi="宋体" w:cs="宋体"/>
          <w:b/>
          <w:bCs/>
          <w:color w:val="auto"/>
          <w:kern w:val="2"/>
          <w:sz w:val="28"/>
          <w:szCs w:val="28"/>
        </w:rPr>
      </w:pPr>
      <w:r>
        <w:rPr>
          <w:rFonts w:hint="eastAsia" w:hAnsi="宋体" w:cs="宋体"/>
          <w:b/>
          <w:bCs/>
          <w:color w:val="auto"/>
          <w:kern w:val="2"/>
          <w:sz w:val="28"/>
          <w:szCs w:val="28"/>
        </w:rPr>
        <w:t>响应报价表</w:t>
      </w:r>
    </w:p>
    <w:p w14:paraId="073ACD01">
      <w:pPr>
        <w:rPr>
          <w:rFonts w:hint="eastAsia" w:ascii="宋体" w:hAnsi="宋体" w:cs="宋体"/>
          <w:color w:val="auto"/>
          <w:szCs w:val="21"/>
        </w:rPr>
      </w:pPr>
    </w:p>
    <w:p w14:paraId="6DF61AF7">
      <w:pPr>
        <w:pStyle w:val="2"/>
        <w:snapToGrid w:val="0"/>
        <w:spacing w:before="5" w:line="360" w:lineRule="auto"/>
        <w:rPr>
          <w:rFonts w:hint="eastAsia" w:ascii="宋体" w:hAnsi="宋体" w:eastAsia="宋体" w:cs="宋体"/>
          <w:color w:val="auto"/>
          <w:szCs w:val="21"/>
          <w:lang w:val="en-US" w:eastAsia="zh-CN"/>
        </w:rPr>
      </w:pPr>
      <w:r>
        <w:rPr>
          <w:rFonts w:hint="eastAsia" w:ascii="宋体" w:hAnsi="宋体"/>
          <w:color w:val="auto"/>
          <w:szCs w:val="21"/>
        </w:rPr>
        <w:t>项目名称：</w:t>
      </w:r>
      <w:r>
        <w:rPr>
          <w:rFonts w:hint="eastAsia" w:ascii="宋体" w:hAnsi="宋体"/>
          <w:color w:val="000000"/>
          <w:highlight w:val="none"/>
        </w:rPr>
        <w:t>2026至2029年制式服装和标识标志采购项目</w:t>
      </w:r>
    </w:p>
    <w:tbl>
      <w:tblPr>
        <w:tblStyle w:val="9"/>
        <w:tblW w:w="500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82"/>
        <w:gridCol w:w="2966"/>
        <w:gridCol w:w="2883"/>
        <w:gridCol w:w="1403"/>
      </w:tblGrid>
      <w:tr w14:paraId="4368D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9" w:hRule="atLeast"/>
        </w:trPr>
        <w:tc>
          <w:tcPr>
            <w:tcW w:w="649" w:type="pct"/>
            <w:noWrap w:val="0"/>
            <w:vAlign w:val="center"/>
          </w:tcPr>
          <w:p w14:paraId="4CFC8657">
            <w:pPr>
              <w:autoSpaceDE w:val="0"/>
              <w:autoSpaceDN w:val="0"/>
              <w:adjustRightInd w:val="0"/>
              <w:snapToGrid w:val="0"/>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序号</w:t>
            </w:r>
          </w:p>
        </w:tc>
        <w:tc>
          <w:tcPr>
            <w:tcW w:w="1779" w:type="pct"/>
            <w:tcBorders>
              <w:left w:val="single" w:color="000000" w:sz="4" w:space="0"/>
              <w:bottom w:val="single" w:color="000000" w:sz="4" w:space="0"/>
            </w:tcBorders>
            <w:noWrap w:val="0"/>
            <w:vAlign w:val="center"/>
          </w:tcPr>
          <w:p w14:paraId="7CCE7491">
            <w:pPr>
              <w:autoSpaceDE w:val="0"/>
              <w:autoSpaceDN w:val="0"/>
              <w:adjustRightInd w:val="0"/>
              <w:snapToGrid w:val="0"/>
              <w:jc w:val="center"/>
              <w:rPr>
                <w:rFonts w:hint="default" w:ascii="宋体" w:hAnsi="宋体" w:cs="宋体"/>
                <w:color w:val="auto"/>
                <w:szCs w:val="21"/>
                <w:lang w:val="en-US" w:eastAsia="zh-CN"/>
              </w:rPr>
            </w:pPr>
            <w:r>
              <w:rPr>
                <w:rFonts w:hint="eastAsia" w:ascii="宋体" w:hAnsi="宋体" w:cs="宋体"/>
                <w:color w:val="auto"/>
                <w:szCs w:val="21"/>
                <w:lang w:val="en-US" w:eastAsia="zh-CN"/>
              </w:rPr>
              <w:t>供应商</w:t>
            </w:r>
          </w:p>
        </w:tc>
        <w:tc>
          <w:tcPr>
            <w:tcW w:w="1729" w:type="pct"/>
            <w:tcBorders>
              <w:left w:val="single" w:color="000000" w:sz="4" w:space="0"/>
              <w:bottom w:val="single" w:color="000000" w:sz="4" w:space="0"/>
            </w:tcBorders>
            <w:noWrap w:val="0"/>
            <w:vAlign w:val="center"/>
          </w:tcPr>
          <w:p w14:paraId="3DEF035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s="宋体"/>
                <w:color w:val="auto"/>
                <w:szCs w:val="21"/>
              </w:rPr>
            </w:pPr>
            <w:r>
              <w:rPr>
                <w:rFonts w:hint="eastAsia" w:ascii="宋体" w:hAnsi="宋体"/>
                <w:color w:val="auto"/>
                <w:lang w:val="en-US" w:eastAsia="zh-CN"/>
              </w:rPr>
              <w:t>综合取费</w:t>
            </w:r>
            <w:r>
              <w:rPr>
                <w:rFonts w:hint="eastAsia" w:ascii="宋体" w:hAnsi="宋体"/>
                <w:color w:val="auto"/>
              </w:rPr>
              <w:t>率（</w:t>
            </w:r>
            <w:r>
              <w:rPr>
                <w:rFonts w:hint="eastAsia" w:ascii="TimesNewRomanPSMT" w:hAnsi="TimesNewRomanPSMT" w:eastAsia="TimesNewRomanPSMT"/>
                <w:color w:val="auto"/>
              </w:rPr>
              <w:t>%</w:t>
            </w:r>
            <w:r>
              <w:rPr>
                <w:rFonts w:hint="eastAsia" w:ascii="宋体" w:hAnsi="宋体"/>
                <w:color w:val="auto"/>
              </w:rPr>
              <w:t>）</w:t>
            </w:r>
          </w:p>
        </w:tc>
        <w:tc>
          <w:tcPr>
            <w:tcW w:w="841" w:type="pct"/>
            <w:tcBorders>
              <w:bottom w:val="single" w:color="000000" w:sz="4" w:space="0"/>
            </w:tcBorders>
            <w:noWrap w:val="0"/>
            <w:vAlign w:val="center"/>
          </w:tcPr>
          <w:p w14:paraId="05783753">
            <w:pPr>
              <w:autoSpaceDE w:val="0"/>
              <w:autoSpaceDN w:val="0"/>
              <w:adjustRightInd w:val="0"/>
              <w:snapToGrid w:val="0"/>
              <w:jc w:val="center"/>
              <w:rPr>
                <w:rFonts w:hint="eastAsia" w:ascii="宋体" w:hAnsi="宋体" w:cs="宋体"/>
                <w:color w:val="auto"/>
                <w:szCs w:val="21"/>
              </w:rPr>
            </w:pPr>
            <w:r>
              <w:rPr>
                <w:rFonts w:hint="eastAsia" w:ascii="宋体" w:hAnsi="宋体" w:cs="宋体"/>
                <w:color w:val="auto"/>
                <w:szCs w:val="21"/>
              </w:rPr>
              <w:t>备注</w:t>
            </w:r>
          </w:p>
        </w:tc>
      </w:tr>
      <w:tr w14:paraId="211D8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8" w:hRule="atLeast"/>
        </w:trPr>
        <w:tc>
          <w:tcPr>
            <w:tcW w:w="649" w:type="pct"/>
            <w:tcBorders>
              <w:right w:val="single" w:color="000000" w:sz="4" w:space="0"/>
            </w:tcBorders>
            <w:noWrap w:val="0"/>
            <w:vAlign w:val="center"/>
          </w:tcPr>
          <w:p w14:paraId="6917CD4F">
            <w:pPr>
              <w:autoSpaceDE w:val="0"/>
              <w:autoSpaceDN w:val="0"/>
              <w:adjustRightInd w:val="0"/>
              <w:snapToGrid w:val="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1779" w:type="pct"/>
            <w:tcBorders>
              <w:top w:val="single" w:color="000000" w:sz="4" w:space="0"/>
              <w:left w:val="single" w:color="000000" w:sz="4" w:space="0"/>
              <w:bottom w:val="single" w:color="000000" w:sz="4" w:space="0"/>
              <w:right w:val="single" w:color="000000" w:sz="4" w:space="0"/>
            </w:tcBorders>
            <w:noWrap w:val="0"/>
            <w:vAlign w:val="center"/>
          </w:tcPr>
          <w:p w14:paraId="46D88A39">
            <w:pPr>
              <w:autoSpaceDE w:val="0"/>
              <w:autoSpaceDN w:val="0"/>
              <w:adjustRightInd w:val="0"/>
              <w:snapToGrid w:val="0"/>
              <w:jc w:val="center"/>
              <w:rPr>
                <w:rFonts w:hint="eastAsia" w:ascii="宋体" w:hAnsi="宋体" w:cs="宋体"/>
                <w:color w:val="auto"/>
                <w:szCs w:val="21"/>
                <w:lang w:val="en-US" w:eastAsia="zh-CN"/>
              </w:rPr>
            </w:pPr>
          </w:p>
        </w:tc>
        <w:tc>
          <w:tcPr>
            <w:tcW w:w="1729" w:type="pct"/>
            <w:tcBorders>
              <w:top w:val="single" w:color="000000" w:sz="4" w:space="0"/>
              <w:left w:val="single" w:color="000000" w:sz="4" w:space="0"/>
              <w:bottom w:val="single" w:color="000000" w:sz="4" w:space="0"/>
              <w:right w:val="single" w:color="000000" w:sz="4" w:space="0"/>
            </w:tcBorders>
            <w:noWrap w:val="0"/>
            <w:vAlign w:val="center"/>
          </w:tcPr>
          <w:p w14:paraId="5326CACF">
            <w:pPr>
              <w:snapToGrid w:val="0"/>
              <w:rPr>
                <w:rFonts w:hint="eastAsia" w:ascii="宋体" w:hAnsi="宋体"/>
                <w:color w:val="auto"/>
              </w:rPr>
            </w:pPr>
          </w:p>
          <w:p w14:paraId="762AFBD6">
            <w:pPr>
              <w:snapToGrid w:val="0"/>
              <w:rPr>
                <w:rFonts w:ascii="宋体" w:hAnsi="宋体" w:cs="宋体"/>
                <w:color w:val="auto"/>
                <w:szCs w:val="21"/>
              </w:rPr>
            </w:pPr>
          </w:p>
        </w:tc>
        <w:tc>
          <w:tcPr>
            <w:tcW w:w="841" w:type="pct"/>
            <w:tcBorders>
              <w:top w:val="single" w:color="000000" w:sz="4" w:space="0"/>
              <w:left w:val="single" w:color="000000" w:sz="4" w:space="0"/>
              <w:bottom w:val="single" w:color="000000" w:sz="4" w:space="0"/>
              <w:right w:val="single" w:color="000000" w:sz="4" w:space="0"/>
            </w:tcBorders>
            <w:noWrap w:val="0"/>
            <w:vAlign w:val="top"/>
          </w:tcPr>
          <w:p w14:paraId="42145407">
            <w:pPr>
              <w:autoSpaceDE w:val="0"/>
              <w:autoSpaceDN w:val="0"/>
              <w:adjustRightInd w:val="0"/>
              <w:snapToGrid w:val="0"/>
              <w:jc w:val="center"/>
              <w:rPr>
                <w:rFonts w:hint="eastAsia" w:ascii="宋体" w:hAnsi="宋体" w:cs="宋体"/>
                <w:color w:val="auto"/>
                <w:szCs w:val="21"/>
              </w:rPr>
            </w:pPr>
          </w:p>
        </w:tc>
      </w:tr>
    </w:tbl>
    <w:p w14:paraId="595F8055">
      <w:pPr>
        <w:numPr>
          <w:ilvl w:val="0"/>
          <w:numId w:val="0"/>
        </w:numPr>
        <w:spacing w:line="360" w:lineRule="auto"/>
        <w:ind w:firstLine="420" w:firstLineChars="200"/>
        <w:rPr>
          <w:rFonts w:hint="eastAsia" w:ascii="宋体" w:hAnsi="宋体" w:cs="宋体"/>
          <w:color w:val="auto"/>
          <w:szCs w:val="21"/>
        </w:rPr>
      </w:pPr>
      <w:r>
        <w:rPr>
          <w:rFonts w:hint="eastAsia" w:ascii="宋体" w:hAnsi="宋体" w:cs="宋体"/>
          <w:color w:val="auto"/>
          <w:szCs w:val="21"/>
        </w:rPr>
        <w:t>备注：</w:t>
      </w:r>
    </w:p>
    <w:p w14:paraId="5BAFA0CA">
      <w:pPr>
        <w:numPr>
          <w:ilvl w:val="0"/>
          <w:numId w:val="0"/>
        </w:numPr>
        <w:spacing w:line="360" w:lineRule="auto"/>
        <w:ind w:firstLine="420" w:firstLineChars="200"/>
        <w:rPr>
          <w:rFonts w:ascii="宋体" w:hAnsi="宋体"/>
        </w:rPr>
      </w:pPr>
      <w:r>
        <w:rPr>
          <w:rFonts w:hint="eastAsia" w:ascii="宋体" w:hAnsi="宋体"/>
          <w:lang w:val="en-US" w:eastAsia="zh-CN"/>
        </w:rPr>
        <w:t>1.</w:t>
      </w:r>
      <w:r>
        <w:rPr>
          <w:rFonts w:hint="eastAsia" w:ascii="宋体" w:hAnsi="宋体"/>
        </w:rPr>
        <w:t>本项目要求供应商采用综合取费率报价。综合取费率不能高于</w:t>
      </w:r>
      <w:r>
        <w:rPr>
          <w:rFonts w:hint="eastAsia" w:ascii="宋体" w:hAnsi="宋体"/>
          <w:lang w:val="en-US" w:eastAsia="zh-CN"/>
        </w:rPr>
        <w:t>95</w:t>
      </w:r>
      <w:r>
        <w:rPr>
          <w:rFonts w:hint="eastAsia" w:ascii="宋体" w:hAnsi="宋体"/>
        </w:rPr>
        <w:t>%</w:t>
      </w:r>
      <w:r>
        <w:rPr>
          <w:rFonts w:hint="eastAsia" w:ascii="宋体" w:hAnsi="宋体"/>
          <w:lang w:eastAsia="zh-CN"/>
        </w:rPr>
        <w:t>，</w:t>
      </w:r>
      <w:r>
        <w:rPr>
          <w:rFonts w:hint="eastAsia" w:ascii="宋体" w:hAnsi="宋体"/>
        </w:rPr>
        <w:t>否则为无效</w:t>
      </w:r>
      <w:r>
        <w:rPr>
          <w:rFonts w:hint="eastAsia" w:ascii="宋体" w:hAnsi="宋体"/>
          <w:lang w:val="en-US" w:eastAsia="zh-CN"/>
        </w:rPr>
        <w:t>报价</w:t>
      </w:r>
      <w:r>
        <w:rPr>
          <w:rFonts w:hint="eastAsia" w:ascii="宋体" w:hAnsi="宋体"/>
        </w:rPr>
        <w:t>。中标人的综合取费率将作为采购人在合同期内购买货物的款项计算依据。中标人的综合取费率在合同期内不作变动。供应商应考虑经济增长物价上涨及自身成本报价。</w:t>
      </w:r>
    </w:p>
    <w:p w14:paraId="220986E8">
      <w:pPr>
        <w:numPr>
          <w:ilvl w:val="0"/>
          <w:numId w:val="0"/>
        </w:numPr>
        <w:spacing w:line="360" w:lineRule="auto"/>
        <w:ind w:firstLine="420" w:firstLineChars="200"/>
        <w:rPr>
          <w:rFonts w:ascii="宋体" w:hAnsi="宋体"/>
        </w:rPr>
      </w:pPr>
      <w:r>
        <w:rPr>
          <w:rFonts w:hint="eastAsia" w:ascii="宋体" w:hAnsi="宋体"/>
          <w:lang w:val="en-US" w:eastAsia="zh-CN"/>
        </w:rPr>
        <w:t>2.</w:t>
      </w:r>
      <w:r>
        <w:rPr>
          <w:rFonts w:hint="eastAsia" w:ascii="宋体" w:hAnsi="宋体"/>
        </w:rPr>
        <w:t>综合取费率适用于所有采购品名的结算，举例：1）中标人为采购人提供了春秋常服100套，该品名的</w:t>
      </w:r>
      <w:r>
        <w:rPr>
          <w:rFonts w:hint="eastAsia" w:ascii="宋体" w:hAnsi="宋体" w:cs="宋体"/>
          <w:szCs w:val="21"/>
        </w:rPr>
        <w:t>预算指导价478元/套，</w:t>
      </w:r>
      <w:r>
        <w:rPr>
          <w:rFonts w:hint="eastAsia" w:ascii="宋体" w:hAnsi="宋体"/>
        </w:rPr>
        <w:t>中标的综合取费率为90%，则春秋常服的结算金额为：478元/套×90%×100套=43020.00元。2）中标人为采</w:t>
      </w:r>
      <w:bookmarkStart w:id="0" w:name="_GoBack"/>
      <w:bookmarkEnd w:id="0"/>
      <w:r>
        <w:rPr>
          <w:rFonts w:hint="eastAsia" w:ascii="宋体" w:hAnsi="宋体"/>
        </w:rPr>
        <w:t>购人提供了</w:t>
      </w:r>
      <w:r>
        <w:rPr>
          <w:rFonts w:hint="eastAsia" w:ascii="宋体" w:hAnsi="宋体" w:cs="宋体"/>
          <w:szCs w:val="21"/>
        </w:rPr>
        <w:t>腰带</w:t>
      </w:r>
      <w:r>
        <w:rPr>
          <w:rFonts w:hint="eastAsia" w:ascii="宋体" w:hAnsi="宋体"/>
        </w:rPr>
        <w:t>100条，该品名的</w:t>
      </w:r>
      <w:r>
        <w:rPr>
          <w:rFonts w:hint="eastAsia" w:ascii="宋体" w:hAnsi="宋体" w:cs="宋体"/>
          <w:szCs w:val="21"/>
        </w:rPr>
        <w:t>预算指导价55元/条，</w:t>
      </w:r>
      <w:r>
        <w:rPr>
          <w:rFonts w:hint="eastAsia" w:ascii="宋体" w:hAnsi="宋体"/>
        </w:rPr>
        <w:t>中标的综合取费率为90%，则</w:t>
      </w:r>
      <w:r>
        <w:rPr>
          <w:rFonts w:hint="eastAsia" w:ascii="宋体" w:hAnsi="宋体" w:cs="宋体"/>
          <w:szCs w:val="21"/>
        </w:rPr>
        <w:t>腰带</w:t>
      </w:r>
      <w:r>
        <w:rPr>
          <w:rFonts w:hint="eastAsia" w:ascii="宋体" w:hAnsi="宋体"/>
        </w:rPr>
        <w:t>的结算金额为：</w:t>
      </w:r>
      <w:r>
        <w:rPr>
          <w:rFonts w:hint="eastAsia" w:ascii="宋体" w:hAnsi="宋体" w:cs="宋体"/>
          <w:szCs w:val="21"/>
        </w:rPr>
        <w:t>55元/条</w:t>
      </w:r>
      <w:r>
        <w:rPr>
          <w:rFonts w:hint="eastAsia" w:ascii="宋体" w:hAnsi="宋体"/>
        </w:rPr>
        <w:t>×90%×100条=4950.00元。</w:t>
      </w:r>
    </w:p>
    <w:p w14:paraId="06CF37A8">
      <w:pPr>
        <w:pStyle w:val="7"/>
        <w:tabs>
          <w:tab w:val="left" w:pos="3960"/>
        </w:tabs>
        <w:spacing w:line="360" w:lineRule="auto"/>
        <w:ind w:firstLine="1265" w:firstLineChars="600"/>
        <w:rPr>
          <w:rFonts w:hAnsi="宋体"/>
          <w:b/>
          <w:bCs/>
          <w:color w:val="auto"/>
          <w:szCs w:val="21"/>
        </w:rPr>
      </w:pPr>
    </w:p>
    <w:p w14:paraId="3B01F270">
      <w:pPr>
        <w:pStyle w:val="2"/>
        <w:rPr>
          <w:rFonts w:hint="eastAsia" w:hAnsi="宋体" w:cs="宋体"/>
          <w:color w:val="auto"/>
        </w:rPr>
      </w:pPr>
      <w:r>
        <w:rPr>
          <w:rFonts w:hint="eastAsia" w:hAnsi="宋体" w:cs="宋体"/>
          <w:color w:val="auto"/>
          <w:szCs w:val="21"/>
        </w:rPr>
        <w:t xml:space="preserve"> </w:t>
      </w:r>
    </w:p>
    <w:p w14:paraId="30A23C5E">
      <w:pPr>
        <w:adjustRightInd w:val="0"/>
        <w:snapToGrid w:val="0"/>
        <w:spacing w:line="360" w:lineRule="auto"/>
        <w:rPr>
          <w:rFonts w:hint="eastAsia" w:ascii="宋体" w:hAnsi="宋体" w:cs="宋体"/>
          <w:color w:val="auto"/>
          <w:szCs w:val="21"/>
        </w:rPr>
      </w:pPr>
    </w:p>
    <w:p w14:paraId="11E678B1">
      <w:pPr>
        <w:adjustRightInd w:val="0"/>
        <w:snapToGrid w:val="0"/>
        <w:spacing w:line="360" w:lineRule="auto"/>
        <w:rPr>
          <w:rFonts w:hint="eastAsia" w:ascii="宋体" w:hAnsi="宋体" w:cs="宋体"/>
          <w:color w:val="auto"/>
          <w:szCs w:val="21"/>
          <w:u w:val="single"/>
        </w:rPr>
      </w:pPr>
      <w:r>
        <w:rPr>
          <w:rFonts w:hint="eastAsia" w:ascii="宋体" w:hAnsi="宋体" w:cs="宋体"/>
          <w:color w:val="auto"/>
          <w:szCs w:val="21"/>
        </w:rPr>
        <w:t>供应商名称（加盖公章）：</w:t>
      </w:r>
    </w:p>
    <w:p w14:paraId="0206C23B">
      <w:pPr>
        <w:pStyle w:val="6"/>
        <w:rPr>
          <w:rFonts w:hint="eastAsia" w:ascii="宋体" w:hAnsi="宋体" w:cs="宋体"/>
          <w:color w:val="auto"/>
          <w:sz w:val="21"/>
          <w:szCs w:val="21"/>
        </w:rPr>
      </w:pPr>
      <w:r>
        <w:rPr>
          <w:rFonts w:hint="eastAsia" w:ascii="宋体" w:hAnsi="宋体" w:cs="宋体"/>
          <w:color w:val="auto"/>
          <w:sz w:val="21"/>
          <w:szCs w:val="21"/>
        </w:rPr>
        <w:t>日期：    年    月    日</w:t>
      </w:r>
    </w:p>
    <w:p w14:paraId="525D2B47">
      <w:pPr>
        <w:rPr>
          <w:rFonts w:hint="default" w:ascii="宋体" w:hAnsi="宋体" w:cs="宋体"/>
          <w:color w:val="auto"/>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imesNewRomanPSMT">
    <w:altName w:val="Times New Roman"/>
    <w:panose1 w:val="02020503050405090304"/>
    <w:charset w:val="00"/>
    <w:family w:val="auto"/>
    <w:pitch w:val="default"/>
    <w:sig w:usb0="00000000" w:usb1="00000000"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A4439F"/>
    <w:rsid w:val="0D1D3354"/>
    <w:rsid w:val="0FF74090"/>
    <w:rsid w:val="20A4439F"/>
    <w:rsid w:val="2DE77464"/>
    <w:rsid w:val="31D95248"/>
    <w:rsid w:val="33E22CCC"/>
    <w:rsid w:val="33EE21E3"/>
    <w:rsid w:val="3E4A6B2A"/>
    <w:rsid w:val="43BC4D4B"/>
    <w:rsid w:val="4AB7733E"/>
    <w:rsid w:val="5685642C"/>
    <w:rsid w:val="584C1142"/>
    <w:rsid w:val="7B0663D4"/>
    <w:rsid w:val="7CF64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4">
    <w:name w:val="heading 1"/>
    <w:basedOn w:val="1"/>
    <w:next w:val="1"/>
    <w:qFormat/>
    <w:uiPriority w:val="0"/>
    <w:pPr>
      <w:keepNext/>
      <w:keepLines/>
      <w:spacing w:line="576" w:lineRule="auto"/>
      <w:outlineLvl w:val="0"/>
    </w:pPr>
    <w:rPr>
      <w:rFonts w:eastAsia="黑体"/>
      <w:b/>
      <w:kern w:val="44"/>
      <w:sz w:val="44"/>
    </w:rPr>
  </w:style>
  <w:style w:type="paragraph" w:styleId="5">
    <w:name w:val="heading 3"/>
    <w:basedOn w:val="1"/>
    <w:next w:val="1"/>
    <w:qFormat/>
    <w:uiPriority w:val="0"/>
    <w:pPr>
      <w:widowControl w:val="0"/>
      <w:spacing w:line="360" w:lineRule="auto"/>
      <w:jc w:val="both"/>
      <w:outlineLvl w:val="2"/>
    </w:pPr>
    <w:rPr>
      <w:rFonts w:ascii="宋体"/>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styleId="3">
    <w:name w:val="toc 5"/>
    <w:basedOn w:val="1"/>
    <w:next w:val="1"/>
    <w:qFormat/>
    <w:uiPriority w:val="0"/>
    <w:pPr>
      <w:widowControl w:val="0"/>
      <w:ind w:left="1680" w:leftChars="800"/>
      <w:jc w:val="both"/>
    </w:pPr>
    <w:rPr>
      <w:kern w:val="2"/>
      <w:szCs w:val="24"/>
    </w:rPr>
  </w:style>
  <w:style w:type="paragraph" w:styleId="6">
    <w:name w:val="Body Text 3"/>
    <w:basedOn w:val="1"/>
    <w:qFormat/>
    <w:uiPriority w:val="0"/>
    <w:pPr>
      <w:widowControl w:val="0"/>
      <w:spacing w:after="120" w:afterLines="0" w:line="360" w:lineRule="auto"/>
      <w:jc w:val="both"/>
    </w:pPr>
    <w:rPr>
      <w:kern w:val="2"/>
      <w:sz w:val="16"/>
      <w:szCs w:val="16"/>
    </w:rPr>
  </w:style>
  <w:style w:type="paragraph" w:styleId="7">
    <w:name w:val="Plain Text"/>
    <w:basedOn w:val="1"/>
    <w:qFormat/>
    <w:uiPriority w:val="0"/>
    <w:pPr>
      <w:widowControl w:val="0"/>
      <w:jc w:val="both"/>
    </w:pPr>
    <w:rPr>
      <w:rFonts w:ascii="宋体" w:hAnsi="Courier New"/>
      <w:kern w:val="2"/>
    </w:rPr>
  </w:style>
  <w:style w:type="paragraph" w:styleId="8">
    <w:name w:val="Normal (Web)"/>
    <w:basedOn w:val="1"/>
    <w:qFormat/>
    <w:uiPriority w:val="0"/>
    <w:pPr>
      <w:spacing w:before="100" w:beforeLines="0" w:beforeAutospacing="1" w:after="100" w:afterLines="0" w:afterAutospacing="1"/>
    </w:pPr>
    <w:rPr>
      <w:rFonts w:ascii="宋体" w:hAnsi="宋体" w:cs="宋体"/>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中山市城市管理和综合执法局</Company>
  <Pages>1</Pages>
  <Words>0</Words>
  <Characters>0</Characters>
  <Lines>0</Lines>
  <Paragraphs>0</Paragraphs>
  <TotalTime>0</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2021-09-09T01:43:00Z</dcterms:created>
  <dc:creator>余鸿浩</dc:creator>
  <cp:lastModifiedBy>余鸿浩</cp:lastModifiedBy>
  <dcterms:modified xsi:type="dcterms:W3CDTF">2026-07-23T02:31:07Z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0A53455FD73E4B228EC9F03E36DBCA3E</vt:lpwstr>
  </property>
</Properties>
</file>