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F5275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：通行道闸更换项目需求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317"/>
        <w:gridCol w:w="6465"/>
      </w:tblGrid>
      <w:tr w14:paraId="6CF5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55" w:type="dxa"/>
            <w:noWrap w:val="0"/>
            <w:vAlign w:val="center"/>
          </w:tcPr>
          <w:p w14:paraId="20A43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60" w:type="dxa"/>
            <w:noWrap w:val="0"/>
            <w:vAlign w:val="center"/>
          </w:tcPr>
          <w:p w14:paraId="31819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指标名称</w:t>
            </w:r>
          </w:p>
        </w:tc>
        <w:tc>
          <w:tcPr>
            <w:tcW w:w="6724" w:type="dxa"/>
            <w:noWrap w:val="0"/>
            <w:vAlign w:val="center"/>
          </w:tcPr>
          <w:p w14:paraId="24128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具体需求</w:t>
            </w:r>
          </w:p>
        </w:tc>
      </w:tr>
      <w:tr w14:paraId="2D8A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755" w:type="dxa"/>
            <w:noWrap w:val="0"/>
            <w:vAlign w:val="center"/>
          </w:tcPr>
          <w:p w14:paraId="62850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360" w:type="dxa"/>
            <w:noWrap w:val="0"/>
            <w:vAlign w:val="center"/>
          </w:tcPr>
          <w:p w14:paraId="2D203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道闸尺寸</w:t>
            </w:r>
          </w:p>
        </w:tc>
        <w:tc>
          <w:tcPr>
            <w:tcW w:w="6724" w:type="dxa"/>
            <w:noWrap w:val="0"/>
            <w:vAlign w:val="center"/>
          </w:tcPr>
          <w:p w14:paraId="7A42A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南部基地道闸总长度15米，其中，机动车进口5米，机动车出口5米，电动车进口2.5米，电动车出口2.5米。</w:t>
            </w:r>
          </w:p>
        </w:tc>
      </w:tr>
      <w:tr w14:paraId="58FD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755" w:type="dxa"/>
            <w:noWrap w:val="0"/>
            <w:vAlign w:val="center"/>
          </w:tcPr>
          <w:p w14:paraId="225ED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360" w:type="dxa"/>
            <w:noWrap w:val="0"/>
            <w:vAlign w:val="center"/>
          </w:tcPr>
          <w:p w14:paraId="29012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旧安全岛利用</w:t>
            </w:r>
          </w:p>
        </w:tc>
        <w:tc>
          <w:tcPr>
            <w:tcW w:w="6724" w:type="dxa"/>
            <w:noWrap w:val="0"/>
            <w:vAlign w:val="center"/>
          </w:tcPr>
          <w:p w14:paraId="719AC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  <w:t>沿用旧混凝土安全岛，清理、修补对旧安全岛表面破损、开裂处；开槽后恢复，表面刷黄黑相间反光漆。</w:t>
            </w:r>
          </w:p>
        </w:tc>
      </w:tr>
      <w:tr w14:paraId="4D2DF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755" w:type="dxa"/>
            <w:noWrap w:val="0"/>
            <w:vAlign w:val="center"/>
          </w:tcPr>
          <w:p w14:paraId="66634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360" w:type="dxa"/>
            <w:noWrap w:val="0"/>
            <w:vAlign w:val="center"/>
          </w:tcPr>
          <w:p w14:paraId="5968D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拆除旧设备</w:t>
            </w:r>
          </w:p>
        </w:tc>
        <w:tc>
          <w:tcPr>
            <w:tcW w:w="6724" w:type="dxa"/>
            <w:noWrap w:val="0"/>
            <w:vAlign w:val="center"/>
          </w:tcPr>
          <w:p w14:paraId="7389F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  <w:t>拆除旧道闸、旧识别立柱/一体机、旧雷达、旧地感线圈、旧控制箱、旧伸缩门（含电机、帘片、导轨、控制箱等）等设备。</w:t>
            </w:r>
          </w:p>
        </w:tc>
      </w:tr>
      <w:tr w14:paraId="4845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755" w:type="dxa"/>
            <w:noWrap w:val="0"/>
            <w:vAlign w:val="center"/>
          </w:tcPr>
          <w:p w14:paraId="26F17538">
            <w:pPr>
              <w:pStyle w:val="4"/>
              <w:spacing w:line="240" w:lineRule="exact"/>
              <w:ind w:left="0" w:leftChars="0" w:firstLine="0" w:firstLineChars="0"/>
              <w:jc w:val="center"/>
              <w:rPr>
                <w:rFonts w:hint="default"/>
                <w:sz w:val="18"/>
                <w:szCs w:val="21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lang w:val="en-US" w:eastAsia="zh-CN"/>
              </w:rPr>
              <w:t>4</w:t>
            </w:r>
          </w:p>
        </w:tc>
        <w:tc>
          <w:tcPr>
            <w:tcW w:w="1360" w:type="dxa"/>
            <w:noWrap w:val="0"/>
            <w:vAlign w:val="center"/>
          </w:tcPr>
          <w:p w14:paraId="23B5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线缆埋深</w:t>
            </w:r>
          </w:p>
        </w:tc>
        <w:tc>
          <w:tcPr>
            <w:tcW w:w="6724" w:type="dxa"/>
            <w:noWrap w:val="0"/>
            <w:vAlign w:val="center"/>
          </w:tcPr>
          <w:p w14:paraId="50690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  <w:t>线管采用PVC阻燃管或镀锌钢管，线缆采用国标铜芯。新线缆穿管埋深不小于200mm；完成后恢复路面。</w:t>
            </w:r>
          </w:p>
        </w:tc>
      </w:tr>
      <w:tr w14:paraId="50DE5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5" w:type="dxa"/>
            <w:noWrap w:val="0"/>
            <w:vAlign w:val="center"/>
          </w:tcPr>
          <w:p w14:paraId="1580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0" w:type="dxa"/>
            <w:noWrap w:val="0"/>
            <w:vAlign w:val="center"/>
          </w:tcPr>
          <w:p w14:paraId="76614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车牌识别核心性能</w:t>
            </w:r>
          </w:p>
        </w:tc>
        <w:tc>
          <w:tcPr>
            <w:tcW w:w="6724" w:type="dxa"/>
            <w:noWrap w:val="0"/>
            <w:vAlign w:val="center"/>
          </w:tcPr>
          <w:p w14:paraId="1DAEA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白天识别率≥98.5%，夜间/弱光≥97%；识别响应≤1秒；支持蓝牌、绿牌、黄牌；识别距离2—6m；含LED显示屏、补光灯模块。</w:t>
            </w:r>
          </w:p>
        </w:tc>
      </w:tr>
      <w:tr w14:paraId="0686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755" w:type="dxa"/>
            <w:noWrap w:val="0"/>
            <w:vAlign w:val="center"/>
          </w:tcPr>
          <w:p w14:paraId="03ED8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0" w:type="dxa"/>
            <w:noWrap w:val="0"/>
            <w:vAlign w:val="center"/>
          </w:tcPr>
          <w:p w14:paraId="505CA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安全防砸</w:t>
            </w:r>
          </w:p>
        </w:tc>
        <w:tc>
          <w:tcPr>
            <w:tcW w:w="6724" w:type="dxa"/>
            <w:noWrap w:val="0"/>
            <w:vAlign w:val="center"/>
          </w:tcPr>
          <w:p w14:paraId="4909D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具备地感防砸、遇阻反弹防砸能力；防砸触发准确率大于90%，遇阻反弹响应时间≤0.2秒</w:t>
            </w:r>
          </w:p>
        </w:tc>
      </w:tr>
      <w:tr w14:paraId="0D2C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755" w:type="dxa"/>
            <w:noWrap w:val="0"/>
            <w:vAlign w:val="center"/>
          </w:tcPr>
          <w:p w14:paraId="60681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0" w:type="dxa"/>
            <w:noWrap w:val="0"/>
            <w:vAlign w:val="center"/>
          </w:tcPr>
          <w:p w14:paraId="4622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道闸硬件</w:t>
            </w:r>
          </w:p>
        </w:tc>
        <w:tc>
          <w:tcPr>
            <w:tcW w:w="6724" w:type="dxa"/>
            <w:noWrap w:val="0"/>
            <w:vAlign w:val="center"/>
          </w:tcPr>
          <w:p w14:paraId="4AD38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采用无刷直流机芯；直杆道闸起落时间≤3秒；整机户外防护等级≥IP54；机芯无故障起落寿命≥300万次；机箱采用1.5mm冷轧钢板/镀锌板，户外静电喷塑，防锈处理；闸杆采用铝合金直杆，贴红白反光膜；立柱采用镀锌钢管，壁厚≥2.0mm，喷塑处理。</w:t>
            </w:r>
          </w:p>
        </w:tc>
      </w:tr>
      <w:tr w14:paraId="484F9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755" w:type="dxa"/>
            <w:noWrap w:val="0"/>
            <w:vAlign w:val="center"/>
          </w:tcPr>
          <w:p w14:paraId="575D6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0" w:type="dxa"/>
            <w:noWrap w:val="0"/>
            <w:vAlign w:val="center"/>
          </w:tcPr>
          <w:p w14:paraId="4892B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电脑与操作系统</w:t>
            </w:r>
          </w:p>
        </w:tc>
        <w:tc>
          <w:tcPr>
            <w:tcW w:w="6724" w:type="dxa"/>
            <w:noWrap w:val="0"/>
            <w:vAlign w:val="center"/>
          </w:tcPr>
          <w:p w14:paraId="196F1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服务器电脑：CPU i5-12400或以上；内存16GB DDR4；硬盘512GB SSD + 1TB HDD；23.8寸或以上显示器；千兆网卡。操作系统：Windows 11专业版64位。</w:t>
            </w:r>
          </w:p>
        </w:tc>
      </w:tr>
      <w:tr w14:paraId="0612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755" w:type="dxa"/>
            <w:noWrap w:val="0"/>
            <w:vAlign w:val="center"/>
          </w:tcPr>
          <w:p w14:paraId="5AC89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0" w:type="dxa"/>
            <w:noWrap w:val="0"/>
            <w:vAlign w:val="center"/>
          </w:tcPr>
          <w:p w14:paraId="3B439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系统合规与稳定</w:t>
            </w:r>
          </w:p>
        </w:tc>
        <w:tc>
          <w:tcPr>
            <w:tcW w:w="6724" w:type="dxa"/>
            <w:noWrap w:val="0"/>
            <w:vAlign w:val="center"/>
          </w:tcPr>
          <w:p w14:paraId="73F78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自动抓拍、识别、保存车牌；车辆通行记录、抓拍图片存储时长≥90天；支持断网脱机连续运行≥7天，网络恢复后数据无丢失、自动同步；支持黑白名单；支持自定义查询、导出、打印进出车辆记录。</w:t>
            </w:r>
          </w:p>
        </w:tc>
      </w:tr>
      <w:tr w14:paraId="75B6B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755" w:type="dxa"/>
            <w:noWrap w:val="0"/>
            <w:vAlign w:val="center"/>
          </w:tcPr>
          <w:p w14:paraId="0B9DF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0" w:type="dxa"/>
            <w:noWrap w:val="0"/>
            <w:vAlign w:val="center"/>
          </w:tcPr>
          <w:p w14:paraId="54ED0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质保与服务保障</w:t>
            </w:r>
          </w:p>
        </w:tc>
        <w:tc>
          <w:tcPr>
            <w:tcW w:w="6724" w:type="dxa"/>
            <w:noWrap w:val="0"/>
            <w:vAlign w:val="center"/>
          </w:tcPr>
          <w:p w14:paraId="7312F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整机软硬件免费质保期≥1年，道闸机芯、识别摄像机、主控主板核心部件免费质保期≥2年；提供工作日8小时技术支持，非工作日远程指导；现场到场时间≤4小时，重大故障12小时内修复。</w:t>
            </w:r>
          </w:p>
        </w:tc>
      </w:tr>
    </w:tbl>
    <w:p w14:paraId="5B2BA1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46A57"/>
    <w:rsid w:val="15F4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kern w:val="2"/>
      <w:sz w:val="28"/>
    </w:rPr>
  </w:style>
  <w:style w:type="paragraph" w:styleId="3">
    <w:name w:val="toc 5"/>
    <w:basedOn w:val="1"/>
    <w:next w:val="1"/>
    <w:qFormat/>
    <w:uiPriority w:val="0"/>
    <w:pPr>
      <w:widowControl w:val="0"/>
      <w:ind w:left="1680"/>
      <w:jc w:val="both"/>
    </w:pPr>
    <w:rPr>
      <w:kern w:val="2"/>
    </w:rPr>
  </w:style>
  <w:style w:type="paragraph" w:styleId="4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中山市城市管理和综合执法局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2026-10-09T02:35:00Z</dcterms:created>
  <dc:creator>曾剑峰</dc:creator>
  <cp:lastModifiedBy>曾剑峰</cp:lastModifiedBy>
  <dcterms:modified xsi:type="dcterms:W3CDTF">2026-10-09T02:36:26Z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2A9303ADDC024941A7CEBEFF939EA5DE_11</vt:lpwstr>
  </property>
</Properties>
</file>