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AEA61">
      <w:pPr>
        <w:pStyle w:val="3"/>
        <w:ind w:left="0" w:leftChars="0" w:firstLine="0" w:firstLineChars="0"/>
        <w:rPr>
          <w:rFonts w:hint="eastAsia"/>
          <w:lang w:val="en-US" w:eastAsia="zh-CN"/>
        </w:rPr>
      </w:pPr>
      <w:bookmarkStart w:id="0" w:name="_GoBack"/>
      <w:bookmarkEnd w:id="0"/>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1：用户需求书</w:t>
      </w:r>
    </w:p>
    <w:p w14:paraId="5EF0417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32"/>
          <w:szCs w:val="32"/>
          <w:lang w:eastAsia="zh-CN"/>
        </w:rPr>
        <w:t>用户需求书</w:t>
      </w:r>
    </w:p>
    <w:p w14:paraId="299641B9">
      <w:pPr>
        <w:keepNext w:val="0"/>
        <w:keepLines w:val="0"/>
        <w:pageBreakBefore w:val="0"/>
        <w:widowControl w:val="0"/>
        <w:kinsoku/>
        <w:wordWrap/>
        <w:overflowPunct/>
        <w:topLinePunct w:val="0"/>
        <w:autoSpaceDE/>
        <w:autoSpaceDN/>
        <w:bidi w:val="0"/>
        <w:adjustRightInd/>
        <w:snapToGrid/>
        <w:spacing w:line="720" w:lineRule="exact"/>
        <w:ind w:firstLine="560" w:firstLineChars="200"/>
        <w:jc w:val="left"/>
        <w:textAlignment w:val="auto"/>
        <w:outlineLvl w:val="0"/>
        <w:rPr>
          <w:rFonts w:hint="eastAsia" w:ascii="黑体" w:hAnsi="黑体" w:eastAsia="黑体" w:cs="黑体"/>
          <w:b w:val="0"/>
          <w:bCs/>
          <w:sz w:val="28"/>
          <w:szCs w:val="28"/>
          <w:lang w:eastAsia="zh-CN"/>
        </w:rPr>
      </w:pPr>
      <w:r>
        <w:rPr>
          <w:rFonts w:hint="eastAsia" w:ascii="黑体" w:hAnsi="黑体" w:eastAsia="黑体" w:cs="黑体"/>
          <w:b w:val="0"/>
          <w:bCs w:val="0"/>
          <w:sz w:val="28"/>
          <w:szCs w:val="28"/>
          <w:lang w:eastAsia="zh-CN"/>
        </w:rPr>
        <w:t>一、</w:t>
      </w:r>
      <w:r>
        <w:rPr>
          <w:rFonts w:hint="eastAsia" w:ascii="黑体" w:hAnsi="黑体" w:eastAsia="黑体" w:cs="黑体"/>
          <w:b w:val="0"/>
          <w:bCs/>
          <w:sz w:val="28"/>
          <w:szCs w:val="28"/>
          <w:lang w:eastAsia="zh-CN"/>
        </w:rPr>
        <w:t>项目概况</w:t>
      </w:r>
    </w:p>
    <w:p w14:paraId="4FF73912">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200"/>
        <w:textAlignment w:val="auto"/>
        <w:rPr>
          <w:rFonts w:hint="eastAsia" w:ascii="宋体" w:hAnsi="宋体" w:eastAsia="宋体" w:cs="宋体"/>
          <w:sz w:val="24"/>
          <w:szCs w:val="32"/>
          <w:lang w:val="en-US" w:eastAsia="zh-CN"/>
        </w:rPr>
      </w:pPr>
      <w:r>
        <w:rPr>
          <w:rFonts w:hint="eastAsia" w:ascii="宋体" w:hAnsi="宋体" w:cs="宋体"/>
          <w:sz w:val="24"/>
          <w:szCs w:val="32"/>
          <w:lang w:val="en-US" w:eastAsia="zh-CN"/>
        </w:rPr>
        <w:t>1.</w:t>
      </w:r>
      <w:r>
        <w:rPr>
          <w:rFonts w:hint="eastAsia" w:ascii="宋体" w:hAnsi="宋体" w:eastAsia="宋体" w:cs="宋体"/>
          <w:sz w:val="24"/>
          <w:szCs w:val="32"/>
          <w:lang w:val="en-US" w:eastAsia="zh-CN"/>
        </w:rPr>
        <w:t>项目名称：</w:t>
      </w:r>
      <w:r>
        <w:rPr>
          <w:rFonts w:hint="eastAsia" w:ascii="宋体" w:hAnsi="宋体" w:cs="宋体"/>
          <w:sz w:val="24"/>
          <w:szCs w:val="32"/>
          <w:lang w:val="en-US" w:eastAsia="zh-CN"/>
        </w:rPr>
        <w:t>南部</w:t>
      </w:r>
      <w:r>
        <w:rPr>
          <w:rFonts w:hint="eastAsia" w:ascii="宋体" w:hAnsi="宋体" w:eastAsia="宋体" w:cs="宋体"/>
          <w:sz w:val="24"/>
          <w:szCs w:val="32"/>
          <w:lang w:val="en-US" w:eastAsia="zh-CN"/>
        </w:rPr>
        <w:t>组团垃圾综合处理基地</w:t>
      </w:r>
      <w:r>
        <w:rPr>
          <w:rFonts w:hint="eastAsia" w:ascii="宋体" w:hAnsi="宋体" w:cs="宋体"/>
          <w:sz w:val="24"/>
          <w:szCs w:val="32"/>
          <w:lang w:val="en-US" w:eastAsia="zh-CN"/>
        </w:rPr>
        <w:t>道闸更换项目。</w:t>
      </w:r>
    </w:p>
    <w:p w14:paraId="57D8AD62">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200"/>
        <w:textAlignment w:val="auto"/>
        <w:rPr>
          <w:rFonts w:hint="eastAsia" w:ascii="宋体" w:hAnsi="宋体" w:eastAsia="宋体" w:cs="宋体"/>
          <w:sz w:val="24"/>
          <w:szCs w:val="32"/>
          <w:lang w:val="en-US" w:eastAsia="zh-CN"/>
        </w:rPr>
      </w:pPr>
      <w:r>
        <w:rPr>
          <w:rFonts w:hint="eastAsia" w:ascii="宋体" w:hAnsi="宋体" w:cs="宋体"/>
          <w:sz w:val="24"/>
          <w:szCs w:val="32"/>
          <w:lang w:val="en-US" w:eastAsia="zh-CN"/>
        </w:rPr>
        <w:t>2.</w:t>
      </w:r>
      <w:r>
        <w:rPr>
          <w:rFonts w:hint="eastAsia" w:ascii="宋体" w:hAnsi="宋体" w:eastAsia="宋体" w:cs="宋体"/>
          <w:sz w:val="24"/>
          <w:szCs w:val="32"/>
          <w:lang w:val="en-US" w:eastAsia="zh-CN"/>
        </w:rPr>
        <w:t>服务地点：中山市</w:t>
      </w:r>
      <w:r>
        <w:rPr>
          <w:rFonts w:hint="eastAsia" w:ascii="宋体" w:hAnsi="宋体" w:cs="宋体"/>
          <w:sz w:val="24"/>
          <w:szCs w:val="32"/>
          <w:lang w:val="en-US" w:eastAsia="zh-CN"/>
        </w:rPr>
        <w:t>南部组团垃圾综合处理基地。</w:t>
      </w:r>
    </w:p>
    <w:p w14:paraId="20B137E6">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200"/>
        <w:textAlignment w:val="auto"/>
        <w:rPr>
          <w:rFonts w:hint="eastAsia" w:ascii="宋体" w:hAnsi="宋体" w:eastAsia="宋体" w:cs="宋体"/>
          <w:sz w:val="24"/>
          <w:szCs w:val="32"/>
          <w:lang w:val="en-US" w:eastAsia="zh-CN"/>
        </w:rPr>
      </w:pPr>
      <w:r>
        <w:rPr>
          <w:rFonts w:hint="eastAsia" w:ascii="宋体" w:hAnsi="宋体" w:cs="宋体"/>
          <w:sz w:val="24"/>
          <w:szCs w:val="32"/>
          <w:lang w:val="en-US" w:eastAsia="zh-CN"/>
        </w:rPr>
        <w:t>3.</w:t>
      </w:r>
      <w:r>
        <w:rPr>
          <w:rFonts w:hint="eastAsia" w:ascii="宋体" w:hAnsi="宋体" w:eastAsia="宋体" w:cs="宋体"/>
          <w:sz w:val="24"/>
          <w:szCs w:val="32"/>
          <w:lang w:val="en-US" w:eastAsia="zh-CN"/>
        </w:rPr>
        <w:t>本项目采购人为中山市城市管理和综合执法局。</w:t>
      </w:r>
    </w:p>
    <w:p w14:paraId="0FD52AD4">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200"/>
        <w:textAlignment w:val="auto"/>
        <w:rPr>
          <w:rFonts w:hint="eastAsia" w:ascii="宋体" w:hAnsi="宋体" w:eastAsia="宋体" w:cs="宋体"/>
          <w:sz w:val="24"/>
          <w:szCs w:val="32"/>
          <w:lang w:val="zh-CN" w:eastAsia="zh-CN"/>
        </w:rPr>
      </w:pPr>
      <w:r>
        <w:rPr>
          <w:rFonts w:hint="eastAsia" w:ascii="宋体" w:hAnsi="宋体" w:cs="宋体"/>
          <w:sz w:val="24"/>
          <w:szCs w:val="32"/>
          <w:lang w:val="en-US" w:eastAsia="zh-CN"/>
        </w:rPr>
        <w:t>4.</w:t>
      </w:r>
      <w:r>
        <w:rPr>
          <w:rFonts w:hint="eastAsia" w:ascii="宋体" w:hAnsi="宋体" w:eastAsia="宋体" w:cs="宋体"/>
          <w:sz w:val="24"/>
          <w:szCs w:val="32"/>
          <w:lang w:val="en-US" w:eastAsia="zh-CN"/>
        </w:rPr>
        <w:t>服务内容：</w:t>
      </w:r>
    </w:p>
    <w:p w14:paraId="63952340">
      <w:pPr>
        <w:pStyle w:val="6"/>
        <w:keepNext w:val="0"/>
        <w:keepLines w:val="0"/>
        <w:pageBreakBefore w:val="0"/>
        <w:widowControl w:val="0"/>
        <w:kinsoku/>
        <w:wordWrap/>
        <w:overflowPunct/>
        <w:topLinePunct w:val="0"/>
        <w:autoSpaceDE/>
        <w:autoSpaceDN/>
        <w:bidi w:val="0"/>
        <w:adjustRightInd w:val="0"/>
        <w:snapToGrid/>
        <w:spacing w:line="480" w:lineRule="exact"/>
        <w:ind w:firstLine="480" w:firstLineChars="200"/>
        <w:jc w:val="both"/>
        <w:textAlignment w:val="auto"/>
        <w:rPr>
          <w:rFonts w:hint="eastAsia" w:cs="宋体"/>
          <w:sz w:val="24"/>
          <w:szCs w:val="32"/>
          <w:lang w:val="en-US" w:eastAsia="zh-CN"/>
        </w:rPr>
      </w:pPr>
      <w:r>
        <w:rPr>
          <w:rFonts w:hint="eastAsia" w:cs="宋体"/>
          <w:sz w:val="24"/>
          <w:szCs w:val="32"/>
          <w:lang w:val="en-US" w:eastAsia="zh-CN"/>
        </w:rPr>
        <w:t>拆除原有旧道闸以及相关老旧设备（混凝土安全岛利旧），重新安装新的通行道闸及配套设备（一个基座、四根杆、一台电脑、两个摄像头）。实现车辆自动识别、保存通行车牌，自动放行、禁行，自定义查询、导出、打印进出车辆记录等功能。具体需求详附件2。</w:t>
      </w:r>
    </w:p>
    <w:p w14:paraId="1A76FAC6">
      <w:pPr>
        <w:pStyle w:val="6"/>
        <w:keepNext w:val="0"/>
        <w:keepLines w:val="0"/>
        <w:pageBreakBefore w:val="0"/>
        <w:widowControl w:val="0"/>
        <w:numPr>
          <w:ilvl w:val="0"/>
          <w:numId w:val="1"/>
        </w:numPr>
        <w:kinsoku/>
        <w:wordWrap/>
        <w:overflowPunct/>
        <w:topLinePunct w:val="0"/>
        <w:autoSpaceDE/>
        <w:autoSpaceDN/>
        <w:bidi w:val="0"/>
        <w:adjustRightInd w:val="0"/>
        <w:snapToGrid/>
        <w:spacing w:line="480" w:lineRule="exact"/>
        <w:ind w:firstLine="480" w:firstLineChars="200"/>
        <w:jc w:val="both"/>
        <w:textAlignment w:val="auto"/>
        <w:rPr>
          <w:rFonts w:hint="eastAsia"/>
          <w:sz w:val="24"/>
          <w:szCs w:val="24"/>
          <w:highlight w:val="none"/>
          <w:lang w:val="en-US" w:eastAsia="zh-CN"/>
        </w:rPr>
      </w:pPr>
      <w:r>
        <w:rPr>
          <w:rFonts w:hint="eastAsia"/>
          <w:sz w:val="24"/>
          <w:szCs w:val="24"/>
          <w:highlight w:val="none"/>
          <w:lang w:val="en-US" w:eastAsia="zh-CN"/>
        </w:rPr>
        <w:t>服务期限：本项目工期暂定从2026年11月1日至2026年11月15日，具体开工时间以采购人通知为准。</w:t>
      </w:r>
    </w:p>
    <w:p w14:paraId="09654E81">
      <w:pPr>
        <w:pStyle w:val="6"/>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二、投标要求</w:t>
      </w:r>
    </w:p>
    <w:p w14:paraId="39E91A65">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0" w:firstLine="480" w:firstLineChars="200"/>
        <w:textAlignment w:val="auto"/>
        <w:rPr>
          <w:rFonts w:hint="eastAsia" w:ascii="宋体" w:hAnsi="宋体" w:eastAsia="宋体" w:cs="宋体"/>
          <w:sz w:val="24"/>
          <w:szCs w:val="32"/>
          <w:lang w:val="en-US" w:eastAsia="zh-CN"/>
        </w:rPr>
      </w:pPr>
      <w:r>
        <w:rPr>
          <w:rFonts w:hint="eastAsia" w:ascii="宋体" w:hAnsi="宋体" w:cs="宋体"/>
          <w:sz w:val="24"/>
          <w:szCs w:val="32"/>
          <w:highlight w:val="none"/>
          <w:lang w:val="en-US" w:eastAsia="zh-CN"/>
        </w:rPr>
        <w:t>1.</w:t>
      </w:r>
      <w:r>
        <w:rPr>
          <w:rFonts w:hint="eastAsia" w:ascii="宋体" w:hAnsi="宋体" w:eastAsia="宋体" w:cs="宋体"/>
          <w:sz w:val="24"/>
          <w:szCs w:val="32"/>
          <w:highlight w:val="none"/>
          <w:lang w:val="en-US" w:eastAsia="zh-CN"/>
        </w:rPr>
        <w:t>本项目预算价为44013元，投标上限价为预算价下浮10%，即44013×（1-10%）=39611.7元。投标人报价不得超过上限价，否则被视为无效投标。</w:t>
      </w:r>
    </w:p>
    <w:p w14:paraId="716ABC1D">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0" w:firstLine="480" w:firstLineChars="200"/>
        <w:textAlignment w:val="auto"/>
        <w:rPr>
          <w:rFonts w:hint="eastAsia" w:ascii="宋体" w:hAnsi="宋体" w:eastAsia="宋体" w:cs="宋体"/>
          <w:lang w:val="en-US" w:eastAsia="zh-CN"/>
        </w:rPr>
      </w:pPr>
      <w:r>
        <w:rPr>
          <w:rFonts w:hint="eastAsia" w:ascii="宋体" w:hAnsi="宋体" w:cs="宋体"/>
          <w:sz w:val="24"/>
          <w:szCs w:val="32"/>
          <w:lang w:val="en-US" w:eastAsia="zh-CN"/>
        </w:rPr>
        <w:t>2.</w:t>
      </w:r>
      <w:r>
        <w:rPr>
          <w:rFonts w:hint="eastAsia" w:ascii="宋体" w:hAnsi="宋体" w:eastAsia="宋体" w:cs="宋体"/>
          <w:sz w:val="24"/>
          <w:szCs w:val="32"/>
          <w:lang w:val="en-US" w:eastAsia="zh-CN"/>
        </w:rPr>
        <w:t>投标人的报价应包括本次招标服务范围及服务期限内所产生的一切费用，包括该项目开始前所需的准备工作、劳务、材料、机械、设备、管理、</w:t>
      </w:r>
      <w:r>
        <w:rPr>
          <w:rFonts w:hint="eastAsia" w:ascii="宋体" w:hAnsi="宋体" w:cs="宋体"/>
          <w:sz w:val="24"/>
          <w:szCs w:val="32"/>
          <w:lang w:val="en-US" w:eastAsia="zh-CN"/>
        </w:rPr>
        <w:t>运输、</w:t>
      </w:r>
      <w:r>
        <w:rPr>
          <w:rFonts w:hint="eastAsia" w:ascii="宋体" w:hAnsi="宋体" w:eastAsia="宋体" w:cs="宋体"/>
          <w:sz w:val="24"/>
          <w:szCs w:val="32"/>
          <w:lang w:val="en-US" w:eastAsia="zh-CN"/>
        </w:rPr>
        <w:t>保险、税费、政策性文件规定及所有责任、义务和一切风险</w:t>
      </w:r>
      <w:r>
        <w:rPr>
          <w:rFonts w:hint="eastAsia" w:ascii="宋体" w:hAnsi="宋体" w:eastAsia="宋体" w:cs="宋体"/>
          <w:sz w:val="24"/>
          <w:szCs w:val="32"/>
          <w:highlight w:val="none"/>
          <w:lang w:val="en-US" w:eastAsia="zh-CN"/>
        </w:rPr>
        <w:t>（《民法典》规定不可抗力除外）费用等所有费用。如中标人在履行合同过程中出现</w:t>
      </w:r>
      <w:r>
        <w:rPr>
          <w:rFonts w:hint="eastAsia" w:ascii="宋体" w:hAnsi="宋体" w:eastAsia="宋体" w:cs="宋体"/>
          <w:sz w:val="24"/>
          <w:szCs w:val="32"/>
          <w:lang w:val="en-US" w:eastAsia="zh-CN"/>
        </w:rPr>
        <w:t>任何遗漏性内容需产生额外费用，均由中标人自行承担，采购人不再支付任何其他费用。</w:t>
      </w:r>
    </w:p>
    <w:p w14:paraId="37F0BC6C">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leftChars="0" w:firstLine="480" w:firstLineChars="200"/>
        <w:textAlignment w:val="auto"/>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本项目不组织统一踏勘，投标人可自行到现场踏勘以充分了解项目位置、情况、道路、装卸限制及任何其他足以影响报价的情况，任何因忽视或误解而导致的索赔申请将不被批准。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7A1731"/>
    <w:multiLevelType w:val="singleLevel"/>
    <w:tmpl w:val="5E7A1731"/>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F03B22"/>
    <w:rsid w:val="7AF03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kern w:val="2"/>
      <w:sz w:val="28"/>
    </w:rPr>
  </w:style>
  <w:style w:type="paragraph" w:styleId="3">
    <w:name w:val="toc 5"/>
    <w:basedOn w:val="1"/>
    <w:next w:val="1"/>
    <w:qFormat/>
    <w:uiPriority w:val="0"/>
    <w:pPr>
      <w:widowControl w:val="0"/>
      <w:ind w:left="1680"/>
      <w:jc w:val="both"/>
    </w:pPr>
    <w:rPr>
      <w:kern w:val="2"/>
    </w:rPr>
  </w:style>
  <w:style w:type="paragraph" w:customStyle="1" w:styleId="6">
    <w:name w:val="正文 首行缩进"/>
    <w:basedOn w:val="1"/>
    <w:qFormat/>
    <w:uiPriority w:val="0"/>
    <w:pPr>
      <w:adjustRightInd w:val="0"/>
      <w:ind w:firstLine="437"/>
      <w:jc w:val="left"/>
    </w:pPr>
    <w:rPr>
      <w:rFonts w:hint="eastAsia" w:ascii="宋体" w:hAnsi="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中山市城市管理和综合执法局</Company>
  <Pages>1</Pages>
  <Words>0</Words>
  <Characters>0</Characters>
  <Lines>0</Lines>
  <Paragraphs>0</Paragraphs>
  <TotalTime>0</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2026-10-09T02:34:00Z</dcterms:created>
  <dc:creator>曾剑峰</dc:creator>
  <cp:lastModifiedBy>曾剑峰</cp:lastModifiedBy>
  <dcterms:modified xsi:type="dcterms:W3CDTF">2026-10-09T02:35:28Z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324897AE476C429DA4A283D4463CF9F1_11</vt:lpwstr>
  </property>
</Properties>
</file>